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0B" w:rsidRDefault="00A56392">
      <w:pPr>
        <w:overflowPunct/>
        <w:autoSpaceDE/>
        <w:autoSpaceDN/>
        <w:adjustRightInd/>
        <w:jc w:val="center"/>
        <w:textAlignment w:val="auto"/>
        <w:rPr>
          <w:b/>
          <w:sz w:val="24"/>
          <w:szCs w:val="24"/>
        </w:rPr>
      </w:pPr>
      <w:r>
        <w:rPr>
          <w:b/>
          <w:sz w:val="24"/>
          <w:szCs w:val="24"/>
        </w:rPr>
        <w:t xml:space="preserve">Second </w:t>
      </w:r>
      <w:r w:rsidR="00D4790B">
        <w:rPr>
          <w:b/>
          <w:sz w:val="24"/>
          <w:szCs w:val="24"/>
        </w:rPr>
        <w:t xml:space="preserve">Amendment to the Iowa Department of Human Services </w:t>
      </w:r>
    </w:p>
    <w:p w:rsidR="00D4790B" w:rsidRDefault="00D4790B">
      <w:pPr>
        <w:overflowPunct/>
        <w:autoSpaceDE/>
        <w:autoSpaceDN/>
        <w:adjustRightInd/>
        <w:jc w:val="center"/>
        <w:textAlignment w:val="auto"/>
        <w:rPr>
          <w:b/>
          <w:sz w:val="24"/>
          <w:szCs w:val="24"/>
        </w:rPr>
      </w:pPr>
      <w:r>
        <w:rPr>
          <w:b/>
          <w:sz w:val="24"/>
          <w:szCs w:val="24"/>
        </w:rPr>
        <w:t>External Quality Review Services Request for Proposal</w:t>
      </w:r>
    </w:p>
    <w:p w:rsidR="00D4790B" w:rsidRDefault="00D4790B">
      <w:pPr>
        <w:keepNext/>
        <w:keepLines/>
        <w:rPr>
          <w:sz w:val="24"/>
          <w:szCs w:val="24"/>
        </w:rPr>
      </w:pPr>
    </w:p>
    <w:p w:rsidR="00D4790B" w:rsidRDefault="00D4790B">
      <w:pPr>
        <w:rPr>
          <w:sz w:val="24"/>
          <w:szCs w:val="24"/>
        </w:rPr>
      </w:pPr>
      <w:r>
        <w:rPr>
          <w:sz w:val="24"/>
          <w:szCs w:val="24"/>
        </w:rPr>
        <w:t>This Amendment to RFP Number MED</w:t>
      </w:r>
      <w:r w:rsidR="00A56392">
        <w:rPr>
          <w:sz w:val="24"/>
          <w:szCs w:val="24"/>
        </w:rPr>
        <w:t>-22-003 is effective as of May 21</w:t>
      </w:r>
      <w:r>
        <w:rPr>
          <w:sz w:val="24"/>
          <w:szCs w:val="24"/>
        </w:rPr>
        <w:t>, 2021.  The RFP is amended as follows:</w:t>
      </w:r>
    </w:p>
    <w:p w:rsidR="00D4790B" w:rsidRDefault="00D4790B">
      <w:pPr>
        <w:pStyle w:val="BodyText2"/>
        <w:jc w:val="left"/>
        <w:rPr>
          <w:bCs/>
          <w:sz w:val="24"/>
          <w:szCs w:val="24"/>
          <w:highlight w:val="green"/>
          <w:u w:val="single"/>
        </w:rPr>
      </w:pPr>
    </w:p>
    <w:p w:rsidR="00D4790B" w:rsidRDefault="00D4790B">
      <w:pPr>
        <w:overflowPunct/>
        <w:autoSpaceDE/>
        <w:autoSpaceDN/>
        <w:adjustRightInd/>
        <w:textAlignment w:val="auto"/>
        <w:rPr>
          <w:rFonts w:eastAsiaTheme="minorEastAsia"/>
          <w:bCs/>
          <w:sz w:val="24"/>
          <w:szCs w:val="24"/>
        </w:rPr>
      </w:pPr>
      <w:r>
        <w:rPr>
          <w:rFonts w:eastAsiaTheme="minorEastAsia"/>
          <w:b/>
          <w:bCs/>
          <w:sz w:val="24"/>
          <w:szCs w:val="24"/>
        </w:rPr>
        <w:t xml:space="preserve">Revision 1.  </w:t>
      </w:r>
      <w:r w:rsidR="00086828">
        <w:rPr>
          <w:rFonts w:eastAsiaTheme="minorEastAsia"/>
          <w:bCs/>
          <w:sz w:val="24"/>
          <w:szCs w:val="24"/>
        </w:rPr>
        <w:t>Section 1.3.</w:t>
      </w:r>
      <w:r w:rsidR="00A56392">
        <w:rPr>
          <w:rFonts w:eastAsiaTheme="minorEastAsia"/>
          <w:bCs/>
          <w:sz w:val="24"/>
          <w:szCs w:val="24"/>
        </w:rPr>
        <w:t>4</w:t>
      </w:r>
      <w:r w:rsidR="00086828">
        <w:rPr>
          <w:rFonts w:eastAsiaTheme="minorEastAsia"/>
          <w:bCs/>
          <w:sz w:val="24"/>
          <w:szCs w:val="24"/>
        </w:rPr>
        <w:t xml:space="preserve"> is hereby amended to read as follows:</w:t>
      </w:r>
    </w:p>
    <w:p w:rsidR="00A56392" w:rsidRDefault="00A56392" w:rsidP="00A56392">
      <w:pPr>
        <w:overflowPunct/>
        <w:autoSpaceDE/>
        <w:autoSpaceDN/>
        <w:adjustRightInd/>
        <w:textAlignment w:val="auto"/>
        <w:rPr>
          <w:rFonts w:eastAsiaTheme="minorEastAsia"/>
          <w:b/>
          <w:szCs w:val="22"/>
        </w:rPr>
      </w:pPr>
    </w:p>
    <w:p w:rsidR="00A56392" w:rsidRPr="00A56392" w:rsidRDefault="00A56392" w:rsidP="00A56392">
      <w:pPr>
        <w:overflowPunct/>
        <w:autoSpaceDE/>
        <w:autoSpaceDN/>
        <w:adjustRightInd/>
        <w:textAlignment w:val="auto"/>
        <w:rPr>
          <w:rFonts w:eastAsiaTheme="minorEastAsia"/>
          <w:b/>
          <w:szCs w:val="22"/>
        </w:rPr>
      </w:pPr>
      <w:r w:rsidRPr="00A56392">
        <w:rPr>
          <w:rFonts w:eastAsiaTheme="minorEastAsia"/>
          <w:b/>
          <w:szCs w:val="22"/>
        </w:rPr>
        <w:t xml:space="preserve">1.3.4 Contract Payment Methodology </w:t>
      </w:r>
    </w:p>
    <w:p w:rsidR="00597EEE" w:rsidRDefault="00597EEE" w:rsidP="00A56392">
      <w:pPr>
        <w:overflowPunct/>
        <w:autoSpaceDE/>
        <w:autoSpaceDN/>
        <w:adjustRightInd/>
        <w:textAlignment w:val="auto"/>
        <w:rPr>
          <w:rFonts w:eastAsiaTheme="minorEastAsia"/>
          <w:szCs w:val="22"/>
        </w:rPr>
      </w:pPr>
    </w:p>
    <w:p w:rsidR="00A56392" w:rsidRPr="00A56392" w:rsidRDefault="00A56392" w:rsidP="00A56392">
      <w:pPr>
        <w:overflowPunct/>
        <w:autoSpaceDE/>
        <w:autoSpaceDN/>
        <w:adjustRightInd/>
        <w:textAlignment w:val="auto"/>
        <w:rPr>
          <w:rFonts w:eastAsiaTheme="minorEastAsia"/>
          <w:bCs/>
          <w:szCs w:val="22"/>
        </w:rPr>
      </w:pPr>
      <w:r w:rsidRPr="00A56392">
        <w:rPr>
          <w:rFonts w:eastAsiaTheme="minorEastAsia"/>
          <w:szCs w:val="22"/>
        </w:rPr>
        <w:t xml:space="preserve">1.3.4.1 Pricing. </w:t>
      </w:r>
      <w:r w:rsidRPr="00A56392">
        <w:rPr>
          <w:rFonts w:eastAsiaTheme="minorEastAsia"/>
          <w:bCs/>
          <w:szCs w:val="22"/>
        </w:rPr>
        <w:t xml:space="preserve">In accordance with the payment terms outlined in this section and the Contractor’s completion of the Scope of Work as set forth in this Contract, the Contractor will be compensated as follows: </w:t>
      </w:r>
    </w:p>
    <w:p w:rsidR="00A56392" w:rsidRPr="00A56392" w:rsidRDefault="00A56392" w:rsidP="00A56392">
      <w:pPr>
        <w:overflowPunct/>
        <w:autoSpaceDE/>
        <w:autoSpaceDN/>
        <w:adjustRightInd/>
        <w:textAlignment w:val="auto"/>
        <w:rPr>
          <w:rFonts w:eastAsiaTheme="minorEastAsia"/>
          <w:szCs w:val="22"/>
        </w:rPr>
      </w:pPr>
      <w:r w:rsidRPr="00A56392">
        <w:rPr>
          <w:rFonts w:eastAsiaTheme="minorEastAsia"/>
          <w:bCs/>
          <w:szCs w:val="22"/>
        </w:rPr>
        <w:t xml:space="preserve">The Contractor will be paid a fixed amount for services rendered, in accordance with the pricing set forth in Special Contract Attachment A (i.e. the Cost Proposal). </w:t>
      </w:r>
    </w:p>
    <w:p w:rsidR="00A56392" w:rsidRPr="00A56392" w:rsidRDefault="00A56392" w:rsidP="00A56392">
      <w:pPr>
        <w:keepLines/>
        <w:overflowPunct/>
        <w:autoSpaceDE/>
        <w:autoSpaceDN/>
        <w:adjustRightInd/>
        <w:textAlignment w:val="auto"/>
        <w:rPr>
          <w:rFonts w:eastAsiaTheme="minorEastAsia"/>
          <w:noProof/>
          <w:szCs w:val="22"/>
        </w:rPr>
      </w:pPr>
    </w:p>
    <w:p w:rsidR="00A56392" w:rsidRPr="00A56392" w:rsidRDefault="00A56392" w:rsidP="00A56392">
      <w:pPr>
        <w:keepLines/>
        <w:overflowPunct/>
        <w:autoSpaceDE/>
        <w:autoSpaceDN/>
        <w:adjustRightInd/>
        <w:textAlignment w:val="auto"/>
        <w:rPr>
          <w:rFonts w:eastAsiaTheme="minorEastAsia"/>
          <w:noProof/>
          <w:szCs w:val="22"/>
        </w:rPr>
      </w:pPr>
      <w:r w:rsidRPr="00A56392">
        <w:rPr>
          <w:rFonts w:eastAsiaTheme="minorEastAsia"/>
          <w:noProof/>
          <w:szCs w:val="22"/>
        </w:rPr>
        <w:t>1.3.4.2 Payment Methodology.</w:t>
      </w:r>
    </w:p>
    <w:p w:rsidR="00A56392" w:rsidRPr="00A56392" w:rsidRDefault="00A56392" w:rsidP="00A56392">
      <w:pPr>
        <w:keepLines/>
        <w:overflowPunct/>
        <w:autoSpaceDE/>
        <w:autoSpaceDN/>
        <w:adjustRightInd/>
        <w:textAlignment w:val="auto"/>
        <w:rPr>
          <w:rFonts w:eastAsiaTheme="minorEastAsia"/>
          <w:szCs w:val="22"/>
        </w:rPr>
      </w:pPr>
      <w:r w:rsidRPr="00A56392">
        <w:rPr>
          <w:rFonts w:eastAsiaTheme="minorEastAsia"/>
          <w:noProof/>
          <w:szCs w:val="22"/>
        </w:rPr>
        <w:t>For Protocols 1-5, the Contractor may invoice 80% of the amount for each Protocol in equal monthly installments. The remaining 20% withhold may be invoiced on December 31st of each year, and will</w:t>
      </w:r>
      <w:r w:rsidRPr="00A56392">
        <w:rPr>
          <w:rFonts w:eastAsiaTheme="minorEastAsia"/>
          <w:szCs w:val="22"/>
        </w:rPr>
        <w:t xml:space="preserve"> be paid upon Agency confirmation that Deliverables have been met according to performance measures and the Agency-approved work plan. </w:t>
      </w:r>
    </w:p>
    <w:p w:rsidR="00A56392" w:rsidRPr="00A56392" w:rsidRDefault="00A56392" w:rsidP="00A56392">
      <w:pPr>
        <w:keepLines/>
        <w:overflowPunct/>
        <w:autoSpaceDE/>
        <w:autoSpaceDN/>
        <w:adjustRightInd/>
        <w:textAlignment w:val="auto"/>
        <w:rPr>
          <w:rFonts w:eastAsiaTheme="minorEastAsia"/>
          <w:szCs w:val="22"/>
        </w:rPr>
      </w:pPr>
      <w:r w:rsidRPr="00A56392">
        <w:rPr>
          <w:rFonts w:eastAsiaTheme="minorEastAsia"/>
          <w:szCs w:val="22"/>
        </w:rPr>
        <w:t xml:space="preserve">For Protocols 6-9, the Contractor may invoice 80% of the amount for each Protocol requested in the month that the draft report or deliverable </w:t>
      </w:r>
      <w:proofErr w:type="gramStart"/>
      <w:r w:rsidRPr="00A56392">
        <w:rPr>
          <w:rFonts w:eastAsiaTheme="minorEastAsia"/>
          <w:szCs w:val="22"/>
        </w:rPr>
        <w:t>is</w:t>
      </w:r>
      <w:proofErr w:type="gramEnd"/>
      <w:r w:rsidRPr="00A56392">
        <w:rPr>
          <w:rFonts w:eastAsiaTheme="minorEastAsia"/>
          <w:szCs w:val="22"/>
        </w:rPr>
        <w:t xml:space="preserve"> submitted to the Agency. The remaining 20% withhold may be invoiced at the upon Agency acceptance of final deliverables at the conclusion of the requested Protocol, </w:t>
      </w:r>
      <w:r w:rsidRPr="00A56392">
        <w:rPr>
          <w:rFonts w:eastAsiaTheme="minorEastAsia"/>
          <w:noProof/>
          <w:szCs w:val="22"/>
        </w:rPr>
        <w:t>and will</w:t>
      </w:r>
      <w:r w:rsidRPr="00A56392">
        <w:rPr>
          <w:rFonts w:eastAsiaTheme="minorEastAsia"/>
          <w:szCs w:val="22"/>
        </w:rPr>
        <w:t xml:space="preserve"> be paid upon Agency confirmation that Deliverables have been met according to performance measures and the Agency-approved work plan.</w:t>
      </w:r>
    </w:p>
    <w:p w:rsidR="00A56392" w:rsidRPr="00A56392" w:rsidRDefault="00A56392" w:rsidP="00A56392">
      <w:pPr>
        <w:overflowPunct/>
        <w:autoSpaceDE/>
        <w:autoSpaceDN/>
        <w:adjustRightInd/>
        <w:textAlignment w:val="auto"/>
        <w:rPr>
          <w:rFonts w:eastAsiaTheme="minorEastAsia"/>
          <w:noProof/>
          <w:szCs w:val="22"/>
        </w:rPr>
      </w:pPr>
    </w:p>
    <w:p w:rsidR="00A56392" w:rsidRPr="00A56392" w:rsidRDefault="00A56392" w:rsidP="00A56392">
      <w:pPr>
        <w:overflowPunct/>
        <w:autoSpaceDE/>
        <w:autoSpaceDN/>
        <w:adjustRightInd/>
        <w:textAlignment w:val="auto"/>
        <w:rPr>
          <w:rFonts w:eastAsiaTheme="minorEastAsia"/>
          <w:noProof/>
          <w:szCs w:val="22"/>
        </w:rPr>
      </w:pPr>
      <w:r w:rsidRPr="00A56392">
        <w:rPr>
          <w:rFonts w:eastAsiaTheme="minorEastAsia"/>
          <w:noProof/>
          <w:szCs w:val="22"/>
        </w:rPr>
        <w:t xml:space="preserve">For the Readiness Review, the Contractor may invoice 80% of the amount for each milestone requested in the month that the milestone is acknowledge in wirttin by the Agency as completed. The remaining 20% withhold may be invoiced upon the Agency acknoelegment in writing that the transition of monitoring of outstanding readiness review items to the Agency has been completed, and will be paid upon Agency confirmation that this milestones has been met according to performance measures and the Agency approved work plan. </w:t>
      </w:r>
    </w:p>
    <w:p w:rsidR="00A56392" w:rsidRPr="00A56392" w:rsidRDefault="00A56392" w:rsidP="00A56392">
      <w:pPr>
        <w:overflowPunct/>
        <w:autoSpaceDE/>
        <w:autoSpaceDN/>
        <w:adjustRightInd/>
        <w:textAlignment w:val="auto"/>
        <w:rPr>
          <w:rFonts w:eastAsiaTheme="minorEastAsia"/>
          <w:noProof/>
          <w:szCs w:val="22"/>
        </w:rPr>
      </w:pPr>
    </w:p>
    <w:p w:rsidR="00A56392" w:rsidRPr="00A56392" w:rsidRDefault="00A56392" w:rsidP="00A56392">
      <w:pPr>
        <w:overflowPunct/>
        <w:autoSpaceDE/>
        <w:autoSpaceDN/>
        <w:adjustRightInd/>
        <w:jc w:val="both"/>
        <w:textAlignment w:val="auto"/>
        <w:rPr>
          <w:rFonts w:eastAsiaTheme="minorEastAsia"/>
          <w:szCs w:val="22"/>
        </w:rPr>
      </w:pPr>
      <w:r w:rsidRPr="00A56392">
        <w:rPr>
          <w:rFonts w:eastAsiaTheme="minorEastAsia"/>
          <w:szCs w:val="22"/>
        </w:rPr>
        <w:t xml:space="preserve">Determination of whether Deliverables have been met is strictly and solely at the discretion of the Agency. </w:t>
      </w:r>
      <w:r w:rsidRPr="00A56392">
        <w:rPr>
          <w:rFonts w:eastAsiaTheme="minorEastAsia"/>
          <w:noProof/>
          <w:szCs w:val="22"/>
        </w:rPr>
        <w:t>Each invoice will include documentation itemizing all work completed</w:t>
      </w:r>
      <w:r w:rsidR="00597EEE">
        <w:rPr>
          <w:rFonts w:eastAsiaTheme="minorEastAsia"/>
          <w:noProof/>
          <w:szCs w:val="22"/>
        </w:rPr>
        <w:t>.</w:t>
      </w:r>
      <w:bookmarkStart w:id="0" w:name="_GoBack"/>
      <w:bookmarkEnd w:id="0"/>
    </w:p>
    <w:p w:rsidR="00A56392" w:rsidRDefault="00A56392">
      <w:pPr>
        <w:overflowPunct/>
        <w:autoSpaceDE/>
        <w:autoSpaceDN/>
        <w:adjustRightInd/>
        <w:textAlignment w:val="auto"/>
        <w:rPr>
          <w:rFonts w:eastAsiaTheme="minorEastAsia"/>
          <w:bCs/>
          <w:sz w:val="24"/>
          <w:szCs w:val="24"/>
        </w:rPr>
      </w:pPr>
    </w:p>
    <w:sectPr w:rsidR="00A56392">
      <w:headerReference w:type="even" r:id="rId7"/>
      <w:headerReference w:type="default" r:id="rId8"/>
      <w:footerReference w:type="even" r:id="rId9"/>
      <w:footerReference w:type="default" r:id="rId10"/>
      <w:headerReference w:type="first" r:id="rId11"/>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6F" w:rsidRDefault="003A656F">
      <w:r>
        <w:separator/>
      </w:r>
    </w:p>
    <w:p w:rsidR="003A656F" w:rsidRDefault="003A656F"/>
  </w:endnote>
  <w:endnote w:type="continuationSeparator" w:id="0">
    <w:p w:rsidR="003A656F" w:rsidRDefault="003A656F">
      <w:r>
        <w:continuationSeparator/>
      </w:r>
    </w:p>
    <w:p w:rsidR="003A656F" w:rsidRDefault="003A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90B" w:rsidRDefault="00D4790B">
    <w:pPr>
      <w:pStyle w:val="Footer"/>
    </w:pPr>
  </w:p>
  <w:p w:rsidR="00D4790B" w:rsidRDefault="00D479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Footer"/>
      <w:framePr w:wrap="auto" w:vAnchor="text" w:hAnchor="margin" w:xAlign="center" w:y="1"/>
      <w:rPr>
        <w:rStyle w:val="PageNumber"/>
      </w:rPr>
    </w:pPr>
  </w:p>
  <w:p w:rsidR="00D4790B" w:rsidRDefault="00D4790B">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sidR="00597EEE">
      <w:rPr>
        <w:rStyle w:val="PageNumber"/>
        <w:iCs/>
        <w:noProof/>
        <w:szCs w:val="18"/>
      </w:rPr>
      <w:t>1</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sidR="00597EEE">
      <w:rPr>
        <w:rStyle w:val="PageNumber"/>
        <w:iCs/>
        <w:noProof/>
        <w:szCs w:val="18"/>
      </w:rPr>
      <w:t>1</w:t>
    </w:r>
    <w:r>
      <w:rPr>
        <w:rStyle w:val="PageNumber"/>
        <w:iCs/>
        <w:szCs w:val="18"/>
      </w:rPr>
      <w:fldChar w:fldCharType="end"/>
    </w:r>
  </w:p>
  <w:p w:rsidR="00D4790B" w:rsidRDefault="00D4790B">
    <w:pPr>
      <w:pStyle w:val="Footer"/>
      <w:rPr>
        <w:sz w:val="20"/>
      </w:rPr>
    </w:pPr>
  </w:p>
  <w:p w:rsidR="00D4790B" w:rsidRDefault="00D4790B">
    <w:pPr>
      <w:pStyle w:val="Footer"/>
      <w:tabs>
        <w:tab w:val="clear" w:pos="8640"/>
        <w:tab w:val="left" w:pos="0"/>
        <w:tab w:val="right" w:pos="9360"/>
      </w:tabs>
      <w:rPr>
        <w:sz w:val="16"/>
      </w:rPr>
    </w:pPr>
    <w:r>
      <w:rPr>
        <w:sz w:val="16"/>
      </w:rPr>
      <w:tab/>
    </w:r>
    <w:r>
      <w:rPr>
        <w:sz w:val="16"/>
      </w:rPr>
      <w:tab/>
    </w:r>
  </w:p>
  <w:p w:rsidR="00D4790B" w:rsidRDefault="00D479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6F" w:rsidRDefault="003A656F">
      <w:r>
        <w:separator/>
      </w:r>
    </w:p>
    <w:p w:rsidR="003A656F" w:rsidRDefault="003A656F"/>
  </w:footnote>
  <w:footnote w:type="continuationSeparator" w:id="0">
    <w:p w:rsidR="003A656F" w:rsidRDefault="003A656F">
      <w:r>
        <w:continuationSeparator/>
      </w:r>
    </w:p>
    <w:p w:rsidR="003A656F" w:rsidRDefault="003A65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Header"/>
    </w:pPr>
  </w:p>
  <w:p w:rsidR="00D4790B" w:rsidRDefault="00D479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F3767C">
    <w:pPr>
      <w:pStyle w:val="Header"/>
      <w:jc w:val="right"/>
      <w:rPr>
        <w:sz w:val="18"/>
        <w:szCs w:val="18"/>
      </w:rPr>
    </w:pPr>
    <w:r>
      <w:rPr>
        <w:sz w:val="18"/>
        <w:szCs w:val="18"/>
      </w:rPr>
      <w:t xml:space="preserve">RFP </w:t>
    </w:r>
    <w:r w:rsidR="00D4790B">
      <w:rPr>
        <w:sz w:val="18"/>
        <w:szCs w:val="18"/>
      </w:rPr>
      <w:t>MED-22-003</w:t>
    </w:r>
  </w:p>
  <w:p w:rsidR="00D4790B" w:rsidRDefault="00D4790B">
    <w:pPr>
      <w:pStyle w:val="Header"/>
      <w:rPr>
        <w:sz w:val="18"/>
        <w:szCs w:val="18"/>
      </w:rPr>
    </w:pPr>
  </w:p>
  <w:p w:rsidR="00D4790B" w:rsidRDefault="00D479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Header"/>
      <w:jc w:val="right"/>
      <w:rPr>
        <w:sz w:val="18"/>
        <w:szCs w:val="18"/>
      </w:rPr>
    </w:pPr>
    <w:r>
      <w:rPr>
        <w:sz w:val="18"/>
        <w:szCs w:val="18"/>
      </w:rPr>
      <w:t>***Contract #***</w:t>
    </w:r>
  </w:p>
  <w:p w:rsidR="00D4790B" w:rsidRDefault="00D4790B">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E682E2"/>
    <w:lvl w:ilvl="0">
      <w:numFmt w:val="bullet"/>
      <w:lvlText w:val="*"/>
      <w:lvlJc w:val="left"/>
    </w:lvl>
  </w:abstractNum>
  <w:abstractNum w:abstractNumId="1" w15:restartNumberingAfterBreak="0">
    <w:nsid w:val="05F773EB"/>
    <w:multiLevelType w:val="multilevel"/>
    <w:tmpl w:val="7EC850D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1B2A38"/>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1368DF"/>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A5E3C"/>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CD2D96"/>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2BBE64C7"/>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8" w15:restartNumberingAfterBreak="0">
    <w:nsid w:val="2FD965E7"/>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737026"/>
    <w:multiLevelType w:val="singleLevel"/>
    <w:tmpl w:val="E5A22B7C"/>
    <w:lvl w:ilvl="0">
      <w:start w:val="1"/>
      <w:numFmt w:val="lowerLetter"/>
      <w:lvlText w:val="%1."/>
      <w:legacy w:legacy="1" w:legacySpace="120" w:legacyIndent="360"/>
      <w:lvlJc w:val="left"/>
      <w:pPr>
        <w:ind w:left="1080" w:hanging="360"/>
      </w:pPr>
      <w:rPr>
        <w:rFonts w:cs="Times New Roman"/>
        <w:i/>
      </w:rPr>
    </w:lvl>
  </w:abstractNum>
  <w:abstractNum w:abstractNumId="10" w15:restartNumberingAfterBreak="0">
    <w:nsid w:val="34E02F39"/>
    <w:multiLevelType w:val="hybridMultilevel"/>
    <w:tmpl w:val="A8066886"/>
    <w:lvl w:ilvl="0" w:tplc="7C92827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D91376"/>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9663B09"/>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3" w15:restartNumberingAfterBreak="0">
    <w:nsid w:val="41900187"/>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4" w15:restartNumberingAfterBreak="0">
    <w:nsid w:val="47E14781"/>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4DAE57EF"/>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15:restartNumberingAfterBreak="0">
    <w:nsid w:val="51BF4A1D"/>
    <w:multiLevelType w:val="multilevel"/>
    <w:tmpl w:val="E7CE5D06"/>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18" w15:restartNumberingAfterBreak="0">
    <w:nsid w:val="51BF4FEC"/>
    <w:multiLevelType w:val="hybridMultilevel"/>
    <w:tmpl w:val="94E23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0A3B7A"/>
    <w:multiLevelType w:val="hybridMultilevel"/>
    <w:tmpl w:val="C21A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BA939B8"/>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23" w15:restartNumberingAfterBreak="0">
    <w:nsid w:val="5CC53983"/>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87E672E"/>
    <w:multiLevelType w:val="singleLevel"/>
    <w:tmpl w:val="D776456E"/>
    <w:lvl w:ilvl="0">
      <w:start w:val="1"/>
      <w:numFmt w:val="lowerLetter"/>
      <w:lvlText w:val="%1."/>
      <w:legacy w:legacy="1" w:legacySpace="120" w:legacyIndent="360"/>
      <w:lvlJc w:val="left"/>
      <w:pPr>
        <w:ind w:left="1080" w:hanging="360"/>
      </w:pPr>
      <w:rPr>
        <w:rFonts w:cs="Times New Roman"/>
        <w:i/>
      </w:rPr>
    </w:lvl>
  </w:abstractNum>
  <w:abstractNum w:abstractNumId="26" w15:restartNumberingAfterBreak="0">
    <w:nsid w:val="6BB96EA8"/>
    <w:multiLevelType w:val="singleLevel"/>
    <w:tmpl w:val="E034EC96"/>
    <w:lvl w:ilvl="0">
      <w:start w:val="1"/>
      <w:numFmt w:val="decimal"/>
      <w:lvlText w:val="%1."/>
      <w:legacy w:legacy="1" w:legacySpace="120" w:legacyIndent="360"/>
      <w:lvlJc w:val="left"/>
      <w:pPr>
        <w:ind w:left="2160" w:hanging="360"/>
      </w:pPr>
      <w:rPr>
        <w:rFonts w:cs="Times New Roman"/>
      </w:rPr>
    </w:lvl>
  </w:abstractNum>
  <w:abstractNum w:abstractNumId="27"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0" w15:restartNumberingAfterBreak="0">
    <w:nsid w:val="70E730A1"/>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17019A9"/>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32" w15:restartNumberingAfterBreak="0">
    <w:nsid w:val="74DB344D"/>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6E1093"/>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3"/>
  </w:num>
  <w:num w:numId="2">
    <w:abstractNumId w:val="18"/>
  </w:num>
  <w:num w:numId="3">
    <w:abstractNumId w:val="27"/>
  </w:num>
  <w:num w:numId="4">
    <w:abstractNumId w:val="4"/>
  </w:num>
  <w:num w:numId="5">
    <w:abstractNumId w:val="6"/>
  </w:num>
  <w:num w:numId="6">
    <w:abstractNumId w:val="11"/>
  </w:num>
  <w:num w:numId="7">
    <w:abstractNumId w:val="19"/>
  </w:num>
  <w:num w:numId="8">
    <w:abstractNumId w:val="28"/>
  </w:num>
  <w:num w:numId="9">
    <w:abstractNumId w:val="16"/>
  </w:num>
  <w:num w:numId="10">
    <w:abstractNumId w:val="15"/>
  </w:num>
  <w:num w:numId="11">
    <w:abstractNumId w:val="10"/>
  </w:num>
  <w:num w:numId="12">
    <w:abstractNumId w:val="14"/>
  </w:num>
  <w:num w:numId="13">
    <w:abstractNumId w:val="29"/>
  </w:num>
  <w:num w:numId="14">
    <w:abstractNumId w:val="2"/>
  </w:num>
  <w:num w:numId="15">
    <w:abstractNumId w:val="21"/>
  </w:num>
  <w:num w:numId="16">
    <w:abstractNumId w:val="8"/>
  </w:num>
  <w:num w:numId="17">
    <w:abstractNumId w:val="24"/>
  </w:num>
  <w:num w:numId="18">
    <w:abstractNumId w:val="32"/>
  </w:num>
  <w:num w:numId="19">
    <w:abstractNumId w:val="3"/>
  </w:num>
  <w:num w:numId="20">
    <w:abstractNumId w:val="5"/>
  </w:num>
  <w:num w:numId="21">
    <w:abstractNumId w:val="23"/>
  </w:num>
  <w:num w:numId="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28"/>
    <w:rsid w:val="00086828"/>
    <w:rsid w:val="002D2526"/>
    <w:rsid w:val="00306B2C"/>
    <w:rsid w:val="003A656F"/>
    <w:rsid w:val="004B73AF"/>
    <w:rsid w:val="00555C52"/>
    <w:rsid w:val="00597EEE"/>
    <w:rsid w:val="005A2CE5"/>
    <w:rsid w:val="005B4A6A"/>
    <w:rsid w:val="006045B6"/>
    <w:rsid w:val="00742188"/>
    <w:rsid w:val="007A56BD"/>
    <w:rsid w:val="00957507"/>
    <w:rsid w:val="00A56392"/>
    <w:rsid w:val="00C6297F"/>
    <w:rsid w:val="00D4790B"/>
    <w:rsid w:val="00F3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CC531"/>
  <w14:defaultImageDpi w14:val="0"/>
  <w15:docId w15:val="{6BDA9F16-E2A3-44D1-89FE-D7F2FF0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Amendment</vt:lpstr>
    </vt:vector>
  </TitlesOfParts>
  <Company>State of Iowa</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Shaw, Julie</dc:creator>
  <cp:keywords/>
  <dc:description/>
  <cp:lastModifiedBy>Bush, Joanne</cp:lastModifiedBy>
  <cp:revision>3</cp:revision>
  <cp:lastPrinted>2017-03-16T19:18:00Z</cp:lastPrinted>
  <dcterms:created xsi:type="dcterms:W3CDTF">2021-05-20T19:54:00Z</dcterms:created>
  <dcterms:modified xsi:type="dcterms:W3CDTF">2021-05-20T19:58:00Z</dcterms:modified>
</cp:coreProperties>
</file>