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69434" w14:textId="27E0EB9A" w:rsidR="00ED25F9" w:rsidRDefault="00ED25F9" w:rsidP="00ED25F9">
      <w:pPr>
        <w:pStyle w:val="Heading1"/>
        <w:keepLines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Attachment </w:t>
      </w:r>
      <w:r w:rsidR="00153CD6">
        <w:rPr>
          <w:sz w:val="32"/>
          <w:szCs w:val="32"/>
        </w:rPr>
        <w:t>I</w:t>
      </w:r>
      <w:r w:rsidRPr="00ED6463">
        <w:rPr>
          <w:sz w:val="32"/>
          <w:szCs w:val="32"/>
        </w:rPr>
        <w:t xml:space="preserve">: </w:t>
      </w:r>
      <w:r>
        <w:rPr>
          <w:sz w:val="32"/>
          <w:szCs w:val="32"/>
        </w:rPr>
        <w:t>Sample Monthly Performance Reporting Tool</w:t>
      </w:r>
    </w:p>
    <w:p w14:paraId="21E069C8" w14:textId="1674BC3D" w:rsidR="00ED25F9" w:rsidRDefault="00ED25F9" w:rsidP="00ED25F9">
      <w:r>
        <w:t>Note: this sample is for illustrative purposes only.</w:t>
      </w:r>
      <w:r w:rsidR="00895018">
        <w:t xml:space="preserve"> Bidders may propose a Monthly Performance Reporting template for Agency review and approval. </w:t>
      </w:r>
    </w:p>
    <w:p w14:paraId="3946DDCC" w14:textId="77777777" w:rsidR="00ED25F9" w:rsidRDefault="00ED25F9" w:rsidP="00ED25F9"/>
    <w:tbl>
      <w:tblPr>
        <w:tblStyle w:val="TableGrid"/>
        <w:tblpPr w:leftFromText="180" w:rightFromText="180" w:vertAnchor="text" w:horzAnchor="margin" w:tblpXSpec="center" w:tblpY="68"/>
        <w:tblOverlap w:val="never"/>
        <w:tblW w:w="5000" w:type="pct"/>
        <w:tblLook w:val="04A0" w:firstRow="1" w:lastRow="0" w:firstColumn="1" w:lastColumn="0" w:noHBand="0" w:noVBand="1"/>
      </w:tblPr>
      <w:tblGrid>
        <w:gridCol w:w="1529"/>
        <w:gridCol w:w="1536"/>
        <w:gridCol w:w="3859"/>
        <w:gridCol w:w="1531"/>
        <w:gridCol w:w="3691"/>
        <w:gridCol w:w="1236"/>
      </w:tblGrid>
      <w:tr w:rsidR="009A52C7" w:rsidRPr="009D02FB" w14:paraId="53A44ED1" w14:textId="77777777" w:rsidTr="009A52C7">
        <w:tc>
          <w:tcPr>
            <w:tcW w:w="571" w:type="pct"/>
            <w:shd w:val="clear" w:color="auto" w:fill="D9D9D9" w:themeFill="background1" w:themeFillShade="D9"/>
            <w:vAlign w:val="center"/>
          </w:tcPr>
          <w:p w14:paraId="6EB7A12A" w14:textId="77777777" w:rsidR="009A52C7" w:rsidRPr="009D02FB" w:rsidRDefault="009A52C7" w:rsidP="00BC1FBF">
            <w:pPr>
              <w:spacing w:after="60"/>
              <w:jc w:val="center"/>
              <w:rPr>
                <w:b/>
              </w:rPr>
            </w:pPr>
            <w:r w:rsidRPr="009D02FB">
              <w:rPr>
                <w:b/>
              </w:rPr>
              <w:t>Business Area</w:t>
            </w:r>
          </w:p>
        </w:tc>
        <w:tc>
          <w:tcPr>
            <w:tcW w:w="574" w:type="pct"/>
            <w:shd w:val="clear" w:color="auto" w:fill="D9D9D9" w:themeFill="background1" w:themeFillShade="D9"/>
            <w:vAlign w:val="center"/>
          </w:tcPr>
          <w:p w14:paraId="15AEC218" w14:textId="77777777" w:rsidR="009A52C7" w:rsidRPr="009D02FB" w:rsidRDefault="009A52C7" w:rsidP="00BC1FBF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Contract Section</w:t>
            </w:r>
          </w:p>
        </w:tc>
        <w:tc>
          <w:tcPr>
            <w:tcW w:w="1442" w:type="pct"/>
            <w:shd w:val="clear" w:color="auto" w:fill="D9D9D9" w:themeFill="background1" w:themeFillShade="D9"/>
            <w:vAlign w:val="center"/>
          </w:tcPr>
          <w:p w14:paraId="6C58D3AE" w14:textId="77777777" w:rsidR="009A52C7" w:rsidRPr="009D02FB" w:rsidRDefault="009A52C7" w:rsidP="00BC1FBF">
            <w:pPr>
              <w:spacing w:after="60"/>
              <w:jc w:val="center"/>
              <w:rPr>
                <w:b/>
              </w:rPr>
            </w:pPr>
            <w:r w:rsidRPr="009D02FB">
              <w:rPr>
                <w:b/>
              </w:rPr>
              <w:t>Performance Standard</w:t>
            </w:r>
          </w:p>
        </w:tc>
        <w:tc>
          <w:tcPr>
            <w:tcW w:w="572" w:type="pct"/>
            <w:shd w:val="clear" w:color="auto" w:fill="D9D9D9" w:themeFill="background1" w:themeFillShade="D9"/>
            <w:vAlign w:val="center"/>
          </w:tcPr>
          <w:p w14:paraId="26BDA68F" w14:textId="585EB399" w:rsidR="009A52C7" w:rsidRPr="009D02FB" w:rsidRDefault="009A52C7" w:rsidP="00BC1FBF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Frequency</w:t>
            </w:r>
          </w:p>
        </w:tc>
        <w:tc>
          <w:tcPr>
            <w:tcW w:w="1379" w:type="pct"/>
            <w:shd w:val="clear" w:color="auto" w:fill="D9D9D9" w:themeFill="background1" w:themeFillShade="D9"/>
          </w:tcPr>
          <w:p w14:paraId="70EF17A7" w14:textId="35ECD51C" w:rsidR="009A52C7" w:rsidRPr="009D02FB" w:rsidRDefault="009A52C7" w:rsidP="00BC1FBF">
            <w:pPr>
              <w:spacing w:after="60"/>
              <w:jc w:val="center"/>
              <w:rPr>
                <w:b/>
              </w:rPr>
            </w:pPr>
            <w:r w:rsidRPr="009D02FB">
              <w:rPr>
                <w:b/>
              </w:rPr>
              <w:t>Total Completed within timeframes</w:t>
            </w:r>
          </w:p>
        </w:tc>
        <w:tc>
          <w:tcPr>
            <w:tcW w:w="462" w:type="pct"/>
            <w:shd w:val="clear" w:color="auto" w:fill="D9D9D9" w:themeFill="background1" w:themeFillShade="D9"/>
            <w:vAlign w:val="center"/>
          </w:tcPr>
          <w:p w14:paraId="54AB889A" w14:textId="54F5B35F" w:rsidR="009A52C7" w:rsidRPr="009D02FB" w:rsidRDefault="009A52C7" w:rsidP="00BC1FBF">
            <w:pPr>
              <w:spacing w:after="60"/>
              <w:jc w:val="center"/>
              <w:rPr>
                <w:b/>
              </w:rPr>
            </w:pPr>
            <w:r w:rsidRPr="009D02FB">
              <w:rPr>
                <w:b/>
              </w:rPr>
              <w:t>Standard Met (Y/N)</w:t>
            </w:r>
          </w:p>
        </w:tc>
      </w:tr>
      <w:tr w:rsidR="009A52C7" w:rsidRPr="009D02FB" w14:paraId="6375EA82" w14:textId="77777777" w:rsidTr="009A52C7">
        <w:tc>
          <w:tcPr>
            <w:tcW w:w="571" w:type="pct"/>
            <w:shd w:val="clear" w:color="auto" w:fill="auto"/>
          </w:tcPr>
          <w:p w14:paraId="61707DB8" w14:textId="77777777" w:rsidR="009A52C7" w:rsidRPr="009D02FB" w:rsidRDefault="009A52C7" w:rsidP="00BC1FBF">
            <w:pPr>
              <w:spacing w:after="60"/>
              <w:jc w:val="center"/>
            </w:pPr>
            <w:r>
              <w:t>Appeals and Hearings</w:t>
            </w:r>
          </w:p>
        </w:tc>
        <w:tc>
          <w:tcPr>
            <w:tcW w:w="574" w:type="pct"/>
          </w:tcPr>
          <w:p w14:paraId="3393D4DC" w14:textId="77777777" w:rsidR="009A52C7" w:rsidRPr="009D02FB" w:rsidRDefault="009A52C7" w:rsidP="00BC1FBF">
            <w:pPr>
              <w:spacing w:after="60"/>
              <w:jc w:val="center"/>
            </w:pPr>
          </w:p>
        </w:tc>
        <w:tc>
          <w:tcPr>
            <w:tcW w:w="1442" w:type="pct"/>
          </w:tcPr>
          <w:p w14:paraId="4959CDAB" w14:textId="77777777" w:rsidR="009A52C7" w:rsidRPr="009D02FB" w:rsidRDefault="009A52C7" w:rsidP="00BC1FBF">
            <w:pPr>
              <w:spacing w:after="60"/>
              <w:jc w:val="left"/>
            </w:pPr>
            <w:r>
              <w:t>Participate in 100% of assigned appeal hearings.</w:t>
            </w:r>
          </w:p>
        </w:tc>
        <w:tc>
          <w:tcPr>
            <w:tcW w:w="572" w:type="pct"/>
          </w:tcPr>
          <w:p w14:paraId="1533F97B" w14:textId="77777777" w:rsidR="009A52C7" w:rsidRPr="009D02FB" w:rsidRDefault="009A52C7" w:rsidP="00BC1FBF">
            <w:pPr>
              <w:spacing w:after="60"/>
              <w:jc w:val="left"/>
            </w:pPr>
          </w:p>
        </w:tc>
        <w:tc>
          <w:tcPr>
            <w:tcW w:w="1379" w:type="pct"/>
          </w:tcPr>
          <w:p w14:paraId="757C9AFF" w14:textId="77777777" w:rsidR="009A52C7" w:rsidRPr="009D02FB" w:rsidRDefault="009A52C7" w:rsidP="00BC1FBF">
            <w:pPr>
              <w:spacing w:after="60"/>
              <w:jc w:val="left"/>
            </w:pPr>
          </w:p>
        </w:tc>
        <w:tc>
          <w:tcPr>
            <w:tcW w:w="462" w:type="pct"/>
          </w:tcPr>
          <w:p w14:paraId="05F6ADCB" w14:textId="1F6B6133" w:rsidR="009A52C7" w:rsidRPr="009D02FB" w:rsidRDefault="009A52C7" w:rsidP="00BC1FBF">
            <w:pPr>
              <w:spacing w:after="60"/>
              <w:jc w:val="left"/>
            </w:pPr>
          </w:p>
        </w:tc>
      </w:tr>
      <w:tr w:rsidR="009A52C7" w:rsidRPr="009D02FB" w14:paraId="238605C3" w14:textId="77777777" w:rsidTr="009A52C7">
        <w:tc>
          <w:tcPr>
            <w:tcW w:w="571" w:type="pct"/>
            <w:shd w:val="clear" w:color="auto" w:fill="auto"/>
          </w:tcPr>
          <w:p w14:paraId="3DB26C0C" w14:textId="77777777" w:rsidR="009A52C7" w:rsidRDefault="009A52C7" w:rsidP="00BC1FBF">
            <w:pPr>
              <w:spacing w:after="60"/>
              <w:jc w:val="center"/>
            </w:pPr>
            <w:r>
              <w:t>Transition</w:t>
            </w:r>
          </w:p>
        </w:tc>
        <w:tc>
          <w:tcPr>
            <w:tcW w:w="574" w:type="pct"/>
          </w:tcPr>
          <w:p w14:paraId="00E7D4A4" w14:textId="77777777" w:rsidR="009A52C7" w:rsidRPr="009D02FB" w:rsidRDefault="009A52C7" w:rsidP="00BC1FBF">
            <w:pPr>
              <w:spacing w:after="60"/>
              <w:jc w:val="center"/>
            </w:pPr>
          </w:p>
        </w:tc>
        <w:tc>
          <w:tcPr>
            <w:tcW w:w="1442" w:type="pct"/>
          </w:tcPr>
          <w:p w14:paraId="58D5479B" w14:textId="77777777" w:rsidR="009A52C7" w:rsidRDefault="009A52C7" w:rsidP="00BC1FBF">
            <w:pPr>
              <w:spacing w:after="60"/>
              <w:jc w:val="left"/>
            </w:pPr>
            <w:r>
              <w:t>Submit transition and operations</w:t>
            </w:r>
            <w:r w:rsidRPr="009C1713">
              <w:t xml:space="preserve"> plans to the Agency for approval within </w:t>
            </w:r>
            <w:r>
              <w:t>15</w:t>
            </w:r>
            <w:r w:rsidRPr="009C1713">
              <w:t xml:space="preserve"> business days after </w:t>
            </w:r>
            <w:r>
              <w:t>Contract execution.</w:t>
            </w:r>
          </w:p>
        </w:tc>
        <w:tc>
          <w:tcPr>
            <w:tcW w:w="572" w:type="pct"/>
          </w:tcPr>
          <w:p w14:paraId="0928EFB6" w14:textId="77777777" w:rsidR="009A52C7" w:rsidRPr="009D02FB" w:rsidRDefault="009A52C7" w:rsidP="00BC1FBF">
            <w:pPr>
              <w:spacing w:after="60"/>
              <w:jc w:val="left"/>
            </w:pPr>
          </w:p>
        </w:tc>
        <w:tc>
          <w:tcPr>
            <w:tcW w:w="1379" w:type="pct"/>
          </w:tcPr>
          <w:p w14:paraId="35675F10" w14:textId="77777777" w:rsidR="009A52C7" w:rsidRPr="009D02FB" w:rsidRDefault="009A52C7" w:rsidP="00BC1FBF">
            <w:pPr>
              <w:spacing w:after="60"/>
              <w:jc w:val="left"/>
            </w:pPr>
          </w:p>
        </w:tc>
        <w:tc>
          <w:tcPr>
            <w:tcW w:w="462" w:type="pct"/>
          </w:tcPr>
          <w:p w14:paraId="0280D55D" w14:textId="48530EB0" w:rsidR="009A52C7" w:rsidRPr="009D02FB" w:rsidRDefault="009A52C7" w:rsidP="00BC1FBF">
            <w:pPr>
              <w:spacing w:after="60"/>
              <w:jc w:val="left"/>
            </w:pPr>
          </w:p>
        </w:tc>
      </w:tr>
      <w:tr w:rsidR="009A52C7" w:rsidRPr="009D02FB" w14:paraId="32B02C29" w14:textId="77777777" w:rsidTr="009A52C7">
        <w:tc>
          <w:tcPr>
            <w:tcW w:w="571" w:type="pct"/>
            <w:shd w:val="clear" w:color="auto" w:fill="auto"/>
          </w:tcPr>
          <w:p w14:paraId="6797CD6D" w14:textId="77777777" w:rsidR="009A52C7" w:rsidRPr="009D02FB" w:rsidRDefault="009A52C7" w:rsidP="00BC1FBF">
            <w:pPr>
              <w:spacing w:after="60"/>
              <w:jc w:val="center"/>
            </w:pPr>
            <w:r>
              <w:t>Claims Inquiries</w:t>
            </w:r>
          </w:p>
        </w:tc>
        <w:tc>
          <w:tcPr>
            <w:tcW w:w="574" w:type="pct"/>
          </w:tcPr>
          <w:p w14:paraId="45B0B94C" w14:textId="77777777" w:rsidR="009A52C7" w:rsidRPr="009D02FB" w:rsidRDefault="009A52C7" w:rsidP="00BC1FBF">
            <w:pPr>
              <w:spacing w:after="60"/>
              <w:jc w:val="center"/>
            </w:pPr>
          </w:p>
        </w:tc>
        <w:tc>
          <w:tcPr>
            <w:tcW w:w="1442" w:type="pct"/>
          </w:tcPr>
          <w:p w14:paraId="27C16543" w14:textId="77777777" w:rsidR="009A52C7" w:rsidRPr="009D02FB" w:rsidRDefault="009A52C7" w:rsidP="00BC1FBF">
            <w:pPr>
              <w:spacing w:after="60"/>
              <w:jc w:val="left"/>
            </w:pPr>
            <w:r w:rsidRPr="009D02FB">
              <w:t xml:space="preserve">Send the final determination letter on a </w:t>
            </w:r>
            <w:proofErr w:type="gramStart"/>
            <w:r w:rsidRPr="009D02FB">
              <w:t>claims</w:t>
            </w:r>
            <w:proofErr w:type="gramEnd"/>
            <w:r w:rsidRPr="009D02FB">
              <w:t xml:space="preserve"> inquiry to the provider within 10 business days of receipt of complete documentation.</w:t>
            </w:r>
          </w:p>
        </w:tc>
        <w:tc>
          <w:tcPr>
            <w:tcW w:w="572" w:type="pct"/>
          </w:tcPr>
          <w:p w14:paraId="41568E36" w14:textId="77777777" w:rsidR="009A52C7" w:rsidRPr="009D02FB" w:rsidRDefault="009A52C7" w:rsidP="00BC1FBF">
            <w:pPr>
              <w:spacing w:after="60"/>
              <w:jc w:val="left"/>
            </w:pPr>
          </w:p>
        </w:tc>
        <w:tc>
          <w:tcPr>
            <w:tcW w:w="1379" w:type="pct"/>
          </w:tcPr>
          <w:p w14:paraId="526D7CD0" w14:textId="77777777" w:rsidR="009A52C7" w:rsidRPr="009D02FB" w:rsidRDefault="009A52C7" w:rsidP="00BC1FBF">
            <w:pPr>
              <w:spacing w:after="60"/>
              <w:jc w:val="left"/>
            </w:pPr>
          </w:p>
        </w:tc>
        <w:tc>
          <w:tcPr>
            <w:tcW w:w="462" w:type="pct"/>
          </w:tcPr>
          <w:p w14:paraId="309A8369" w14:textId="59B6BC95" w:rsidR="009A52C7" w:rsidRPr="009D02FB" w:rsidRDefault="009A52C7" w:rsidP="00BC1FBF">
            <w:pPr>
              <w:spacing w:after="60"/>
              <w:jc w:val="left"/>
            </w:pPr>
          </w:p>
        </w:tc>
      </w:tr>
      <w:tr w:rsidR="009A52C7" w:rsidRPr="009D02FB" w14:paraId="16E2550D" w14:textId="77777777" w:rsidTr="009A52C7">
        <w:tc>
          <w:tcPr>
            <w:tcW w:w="571" w:type="pct"/>
            <w:shd w:val="clear" w:color="auto" w:fill="auto"/>
          </w:tcPr>
          <w:p w14:paraId="2B9AF2A5" w14:textId="77777777" w:rsidR="009A52C7" w:rsidRPr="009D02FB" w:rsidRDefault="009A52C7" w:rsidP="00BC1FBF">
            <w:pPr>
              <w:spacing w:after="60"/>
              <w:jc w:val="center"/>
            </w:pPr>
            <w:r>
              <w:t>Exceptions to Policy</w:t>
            </w:r>
          </w:p>
        </w:tc>
        <w:tc>
          <w:tcPr>
            <w:tcW w:w="574" w:type="pct"/>
          </w:tcPr>
          <w:p w14:paraId="725B5DEF" w14:textId="77777777" w:rsidR="009A52C7" w:rsidRPr="009D02FB" w:rsidRDefault="009A52C7" w:rsidP="00BC1FBF">
            <w:pPr>
              <w:spacing w:after="60"/>
              <w:jc w:val="center"/>
            </w:pPr>
          </w:p>
        </w:tc>
        <w:tc>
          <w:tcPr>
            <w:tcW w:w="1442" w:type="pct"/>
          </w:tcPr>
          <w:p w14:paraId="362F8A4B" w14:textId="77777777" w:rsidR="009A52C7" w:rsidRPr="009D02FB" w:rsidRDefault="009A52C7" w:rsidP="00BC1FBF">
            <w:pPr>
              <w:spacing w:after="60"/>
              <w:jc w:val="left"/>
            </w:pPr>
            <w:r w:rsidRPr="009D02FB">
              <w:t>Complete 95 percent of Exception to Policy Determinations within 10 business days of receipt of complete information. Complete 100 percent within 20 business days.</w:t>
            </w:r>
          </w:p>
        </w:tc>
        <w:tc>
          <w:tcPr>
            <w:tcW w:w="572" w:type="pct"/>
          </w:tcPr>
          <w:p w14:paraId="58D92B72" w14:textId="77777777" w:rsidR="009A52C7" w:rsidRPr="009D02FB" w:rsidRDefault="009A52C7" w:rsidP="00BC1FBF">
            <w:pPr>
              <w:spacing w:after="60"/>
              <w:jc w:val="left"/>
            </w:pPr>
          </w:p>
        </w:tc>
        <w:tc>
          <w:tcPr>
            <w:tcW w:w="1379" w:type="pct"/>
          </w:tcPr>
          <w:p w14:paraId="17512071" w14:textId="77777777" w:rsidR="009A52C7" w:rsidRPr="009D02FB" w:rsidRDefault="009A52C7" w:rsidP="00BC1FBF">
            <w:pPr>
              <w:spacing w:after="60"/>
              <w:jc w:val="left"/>
            </w:pPr>
          </w:p>
        </w:tc>
        <w:tc>
          <w:tcPr>
            <w:tcW w:w="462" w:type="pct"/>
          </w:tcPr>
          <w:p w14:paraId="1E64AA34" w14:textId="4D5A2BDA" w:rsidR="009A52C7" w:rsidRPr="009D02FB" w:rsidRDefault="009A52C7" w:rsidP="00BC1FBF">
            <w:pPr>
              <w:spacing w:after="60"/>
              <w:jc w:val="left"/>
            </w:pPr>
          </w:p>
        </w:tc>
      </w:tr>
      <w:tr w:rsidR="009A52C7" w:rsidRPr="009D02FB" w14:paraId="476CDC0E" w14:textId="77777777" w:rsidTr="009A52C7">
        <w:tc>
          <w:tcPr>
            <w:tcW w:w="571" w:type="pct"/>
            <w:shd w:val="clear" w:color="auto" w:fill="auto"/>
          </w:tcPr>
          <w:p w14:paraId="03E58421" w14:textId="77777777" w:rsidR="009A52C7" w:rsidRPr="009D02FB" w:rsidRDefault="009A52C7" w:rsidP="00BC1FBF">
            <w:pPr>
              <w:spacing w:after="60"/>
              <w:jc w:val="center"/>
            </w:pPr>
            <w:r w:rsidRPr="009D02FB">
              <w:t>Prior Authorization</w:t>
            </w:r>
            <w:r>
              <w:t>s</w:t>
            </w:r>
          </w:p>
        </w:tc>
        <w:tc>
          <w:tcPr>
            <w:tcW w:w="574" w:type="pct"/>
          </w:tcPr>
          <w:p w14:paraId="170AA681" w14:textId="77777777" w:rsidR="009A52C7" w:rsidRPr="009D02FB" w:rsidRDefault="009A52C7" w:rsidP="00BC1FBF">
            <w:pPr>
              <w:spacing w:after="60"/>
              <w:jc w:val="center"/>
            </w:pPr>
          </w:p>
        </w:tc>
        <w:tc>
          <w:tcPr>
            <w:tcW w:w="1442" w:type="pct"/>
          </w:tcPr>
          <w:p w14:paraId="0EA26567" w14:textId="77777777" w:rsidR="009A52C7" w:rsidRPr="009D02FB" w:rsidRDefault="009A52C7" w:rsidP="00BC1FBF">
            <w:pPr>
              <w:jc w:val="left"/>
            </w:pPr>
            <w:r w:rsidRPr="009D02FB">
              <w:rPr>
                <w:color w:val="000000"/>
              </w:rPr>
              <w:t xml:space="preserve">Complete 95 percent of PA requests not requiring physician review, </w:t>
            </w:r>
            <w:proofErr w:type="gramStart"/>
            <w:r w:rsidRPr="009D02FB">
              <w:rPr>
                <w:color w:val="000000"/>
              </w:rPr>
              <w:t>enter into</w:t>
            </w:r>
            <w:proofErr w:type="gramEnd"/>
            <w:r w:rsidRPr="009D02FB">
              <w:rPr>
                <w:color w:val="000000"/>
              </w:rPr>
              <w:t xml:space="preserve"> system, and send appropriate notice within 10 business days of initial receipt.</w:t>
            </w:r>
            <w:r w:rsidRPr="009D02FB">
              <w:rPr>
                <w:color w:val="000000"/>
              </w:rPr>
              <w:br/>
              <w:t>Complete 100 percent within 15 business days of initial receipt.</w:t>
            </w:r>
          </w:p>
        </w:tc>
        <w:tc>
          <w:tcPr>
            <w:tcW w:w="572" w:type="pct"/>
          </w:tcPr>
          <w:p w14:paraId="0718DF49" w14:textId="77777777" w:rsidR="009A52C7" w:rsidRPr="009D02FB" w:rsidRDefault="009A52C7" w:rsidP="00BC1FBF">
            <w:pPr>
              <w:spacing w:after="60"/>
              <w:jc w:val="left"/>
            </w:pPr>
          </w:p>
        </w:tc>
        <w:tc>
          <w:tcPr>
            <w:tcW w:w="1379" w:type="pct"/>
          </w:tcPr>
          <w:p w14:paraId="6EA7A230" w14:textId="77777777" w:rsidR="009A52C7" w:rsidRPr="009D02FB" w:rsidRDefault="009A52C7" w:rsidP="00BC1FBF">
            <w:pPr>
              <w:spacing w:after="60"/>
              <w:jc w:val="left"/>
            </w:pPr>
          </w:p>
        </w:tc>
        <w:tc>
          <w:tcPr>
            <w:tcW w:w="462" w:type="pct"/>
          </w:tcPr>
          <w:p w14:paraId="603AB634" w14:textId="1E564527" w:rsidR="009A52C7" w:rsidRPr="009D02FB" w:rsidRDefault="009A52C7" w:rsidP="00BC1FBF">
            <w:pPr>
              <w:spacing w:after="60"/>
              <w:jc w:val="left"/>
            </w:pPr>
          </w:p>
        </w:tc>
      </w:tr>
      <w:tr w:rsidR="009A52C7" w:rsidRPr="009D02FB" w14:paraId="3436B0B7" w14:textId="77777777" w:rsidTr="009A52C7">
        <w:tc>
          <w:tcPr>
            <w:tcW w:w="571" w:type="pct"/>
            <w:shd w:val="clear" w:color="auto" w:fill="auto"/>
          </w:tcPr>
          <w:p w14:paraId="3642E5E5" w14:textId="77777777" w:rsidR="009A52C7" w:rsidRPr="009D02FB" w:rsidRDefault="009A52C7" w:rsidP="00BC1FBF">
            <w:pPr>
              <w:spacing w:after="60"/>
              <w:jc w:val="center"/>
            </w:pPr>
            <w:r w:rsidRPr="009D02FB">
              <w:t xml:space="preserve"> Prior Authorization</w:t>
            </w:r>
            <w:r>
              <w:t>s</w:t>
            </w:r>
          </w:p>
        </w:tc>
        <w:tc>
          <w:tcPr>
            <w:tcW w:w="574" w:type="pct"/>
          </w:tcPr>
          <w:p w14:paraId="3F7A4FBE" w14:textId="77777777" w:rsidR="009A52C7" w:rsidRPr="009D02FB" w:rsidRDefault="009A52C7" w:rsidP="00BC1FBF">
            <w:pPr>
              <w:spacing w:after="60"/>
              <w:jc w:val="center"/>
            </w:pPr>
          </w:p>
        </w:tc>
        <w:tc>
          <w:tcPr>
            <w:tcW w:w="1442" w:type="pct"/>
          </w:tcPr>
          <w:p w14:paraId="525205C9" w14:textId="77777777" w:rsidR="009A52C7" w:rsidRPr="009D02FB" w:rsidRDefault="009A52C7" w:rsidP="00BC1FBF">
            <w:pPr>
              <w:jc w:val="left"/>
            </w:pPr>
            <w:r w:rsidRPr="009D02FB">
              <w:rPr>
                <w:color w:val="000000"/>
              </w:rPr>
              <w:t xml:space="preserve">Complete 95 percent of PA requests requiring physician review, </w:t>
            </w:r>
            <w:proofErr w:type="gramStart"/>
            <w:r w:rsidRPr="009D02FB">
              <w:rPr>
                <w:color w:val="000000"/>
              </w:rPr>
              <w:t>enter into</w:t>
            </w:r>
            <w:proofErr w:type="gramEnd"/>
            <w:r w:rsidRPr="009D02FB">
              <w:rPr>
                <w:color w:val="000000"/>
              </w:rPr>
              <w:t xml:space="preserve"> system and send appropriate notice within 15 business days of initial receipt. </w:t>
            </w:r>
            <w:r w:rsidRPr="009D02FB">
              <w:rPr>
                <w:color w:val="000000"/>
              </w:rPr>
              <w:br/>
              <w:t>Complete 100 percent within 20 business days of initial receipt.</w:t>
            </w:r>
          </w:p>
        </w:tc>
        <w:tc>
          <w:tcPr>
            <w:tcW w:w="572" w:type="pct"/>
          </w:tcPr>
          <w:p w14:paraId="2FB4E116" w14:textId="77777777" w:rsidR="009A52C7" w:rsidRPr="009D02FB" w:rsidRDefault="009A52C7" w:rsidP="00BC1FBF">
            <w:pPr>
              <w:spacing w:after="60"/>
              <w:jc w:val="left"/>
            </w:pPr>
          </w:p>
        </w:tc>
        <w:tc>
          <w:tcPr>
            <w:tcW w:w="1379" w:type="pct"/>
          </w:tcPr>
          <w:p w14:paraId="6E89F755" w14:textId="77777777" w:rsidR="009A52C7" w:rsidRPr="009D02FB" w:rsidRDefault="009A52C7" w:rsidP="00BC1FBF">
            <w:pPr>
              <w:spacing w:after="60"/>
              <w:jc w:val="left"/>
            </w:pPr>
          </w:p>
        </w:tc>
        <w:tc>
          <w:tcPr>
            <w:tcW w:w="462" w:type="pct"/>
          </w:tcPr>
          <w:p w14:paraId="492BE681" w14:textId="3005EE0B" w:rsidR="009A52C7" w:rsidRPr="009D02FB" w:rsidRDefault="009A52C7" w:rsidP="00BC1FBF">
            <w:pPr>
              <w:spacing w:after="60"/>
              <w:jc w:val="left"/>
            </w:pPr>
          </w:p>
        </w:tc>
      </w:tr>
      <w:tr w:rsidR="009A52C7" w:rsidRPr="009D02FB" w14:paraId="124ADF0D" w14:textId="77777777" w:rsidTr="009A52C7">
        <w:trPr>
          <w:trHeight w:val="1265"/>
        </w:trPr>
        <w:tc>
          <w:tcPr>
            <w:tcW w:w="571" w:type="pct"/>
            <w:tcBorders>
              <w:bottom w:val="single" w:sz="4" w:space="0" w:color="auto"/>
            </w:tcBorders>
            <w:shd w:val="clear" w:color="auto" w:fill="auto"/>
          </w:tcPr>
          <w:p w14:paraId="4AE2E037" w14:textId="77777777" w:rsidR="009A52C7" w:rsidRPr="009D02FB" w:rsidRDefault="009A52C7" w:rsidP="00BC1FBF">
            <w:pPr>
              <w:spacing w:after="60"/>
              <w:jc w:val="center"/>
            </w:pPr>
            <w:r>
              <w:t>LOC and NBA Reviews</w:t>
            </w:r>
          </w:p>
        </w:tc>
        <w:tc>
          <w:tcPr>
            <w:tcW w:w="574" w:type="pct"/>
            <w:tcBorders>
              <w:bottom w:val="single" w:sz="4" w:space="0" w:color="auto"/>
            </w:tcBorders>
          </w:tcPr>
          <w:p w14:paraId="7CC085C1" w14:textId="77777777" w:rsidR="009A52C7" w:rsidRPr="009D02FB" w:rsidRDefault="009A52C7" w:rsidP="00BC1FBF">
            <w:pPr>
              <w:spacing w:after="60"/>
              <w:jc w:val="center"/>
            </w:pPr>
          </w:p>
        </w:tc>
        <w:tc>
          <w:tcPr>
            <w:tcW w:w="1442" w:type="pct"/>
            <w:tcBorders>
              <w:bottom w:val="single" w:sz="4" w:space="0" w:color="auto"/>
            </w:tcBorders>
          </w:tcPr>
          <w:p w14:paraId="00D82CE9" w14:textId="77777777" w:rsidR="009A52C7" w:rsidRPr="009D02FB" w:rsidRDefault="009A52C7" w:rsidP="00BC1FBF">
            <w:pPr>
              <w:spacing w:after="60"/>
              <w:jc w:val="left"/>
            </w:pPr>
            <w:r w:rsidRPr="009D02FB">
              <w:t xml:space="preserve">Complete 95 percent of </w:t>
            </w:r>
            <w:r>
              <w:t xml:space="preserve">initial </w:t>
            </w:r>
            <w:r w:rsidRPr="009D02FB">
              <w:t>LOC</w:t>
            </w:r>
            <w:r>
              <w:t xml:space="preserve"> and NBA</w:t>
            </w:r>
            <w:r w:rsidRPr="009D02FB">
              <w:t xml:space="preserve"> determinations within two business days of receipt of complete information. </w:t>
            </w:r>
          </w:p>
          <w:p w14:paraId="003F9A6D" w14:textId="77777777" w:rsidR="009A52C7" w:rsidRPr="009D02FB" w:rsidRDefault="009A52C7" w:rsidP="00BC1FBF">
            <w:pPr>
              <w:jc w:val="left"/>
              <w:rPr>
                <w:color w:val="000000"/>
              </w:rPr>
            </w:pPr>
            <w:r w:rsidRPr="009D02FB">
              <w:t>Complete 100 percent within five business days.</w:t>
            </w:r>
          </w:p>
        </w:tc>
        <w:tc>
          <w:tcPr>
            <w:tcW w:w="572" w:type="pct"/>
            <w:tcBorders>
              <w:bottom w:val="single" w:sz="4" w:space="0" w:color="auto"/>
            </w:tcBorders>
          </w:tcPr>
          <w:p w14:paraId="2313E86B" w14:textId="77777777" w:rsidR="009A52C7" w:rsidRPr="009D02FB" w:rsidRDefault="009A52C7" w:rsidP="00BC1FBF">
            <w:pPr>
              <w:spacing w:after="60"/>
              <w:jc w:val="left"/>
            </w:pPr>
          </w:p>
        </w:tc>
        <w:tc>
          <w:tcPr>
            <w:tcW w:w="1379" w:type="pct"/>
            <w:tcBorders>
              <w:bottom w:val="single" w:sz="4" w:space="0" w:color="auto"/>
            </w:tcBorders>
          </w:tcPr>
          <w:p w14:paraId="77BCC391" w14:textId="77777777" w:rsidR="009A52C7" w:rsidRPr="009D02FB" w:rsidRDefault="009A52C7" w:rsidP="00BC1FBF">
            <w:pPr>
              <w:spacing w:after="60"/>
              <w:jc w:val="left"/>
            </w:pP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14:paraId="4DC82546" w14:textId="304C3C94" w:rsidR="009A52C7" w:rsidRPr="009D02FB" w:rsidRDefault="009A52C7" w:rsidP="00BC1FBF">
            <w:pPr>
              <w:spacing w:after="60"/>
              <w:jc w:val="left"/>
            </w:pPr>
          </w:p>
        </w:tc>
      </w:tr>
      <w:tr w:rsidR="009A52C7" w:rsidRPr="009D02FB" w14:paraId="6855D5F0" w14:textId="77777777" w:rsidTr="009A52C7">
        <w:trPr>
          <w:trHeight w:val="905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5BA96C" w14:textId="77777777" w:rsidR="009A52C7" w:rsidRPr="009D02FB" w:rsidRDefault="009A52C7" w:rsidP="00BC1FBF">
            <w:pPr>
              <w:spacing w:after="60"/>
              <w:jc w:val="center"/>
            </w:pPr>
            <w:r>
              <w:t>Utilization Reviews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</w:tcPr>
          <w:p w14:paraId="207F7AD0" w14:textId="77777777" w:rsidR="009A52C7" w:rsidRPr="009D02FB" w:rsidRDefault="009A52C7" w:rsidP="00BC1FBF">
            <w:pPr>
              <w:spacing w:after="60"/>
              <w:jc w:val="center"/>
            </w:pPr>
          </w:p>
        </w:tc>
        <w:tc>
          <w:tcPr>
            <w:tcW w:w="1442" w:type="pct"/>
            <w:tcBorders>
              <w:top w:val="single" w:sz="4" w:space="0" w:color="auto"/>
              <w:bottom w:val="single" w:sz="4" w:space="0" w:color="auto"/>
            </w:tcBorders>
          </w:tcPr>
          <w:p w14:paraId="55974A96" w14:textId="77777777" w:rsidR="009A52C7" w:rsidRPr="009D02FB" w:rsidRDefault="009A52C7" w:rsidP="00BC1FBF">
            <w:pPr>
              <w:jc w:val="left"/>
              <w:rPr>
                <w:color w:val="000000"/>
              </w:rPr>
            </w:pPr>
            <w:r w:rsidRPr="009D02FB">
              <w:t>Conduct annual on-site UR visits between months 10 and 12 following the prior year visit to ICF/ID, NF/MI, PMIC and MHI facilities.</w:t>
            </w: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</w:tcPr>
          <w:p w14:paraId="28155235" w14:textId="77777777" w:rsidR="009A52C7" w:rsidRPr="009D02FB" w:rsidRDefault="009A52C7" w:rsidP="00BC1FBF">
            <w:pPr>
              <w:spacing w:after="60"/>
              <w:jc w:val="left"/>
            </w:pPr>
          </w:p>
        </w:tc>
        <w:tc>
          <w:tcPr>
            <w:tcW w:w="1379" w:type="pct"/>
            <w:tcBorders>
              <w:top w:val="single" w:sz="4" w:space="0" w:color="auto"/>
              <w:bottom w:val="single" w:sz="4" w:space="0" w:color="auto"/>
            </w:tcBorders>
          </w:tcPr>
          <w:p w14:paraId="7A189BF8" w14:textId="77777777" w:rsidR="009A52C7" w:rsidRPr="009D02FB" w:rsidRDefault="009A52C7" w:rsidP="00BC1FBF">
            <w:pPr>
              <w:spacing w:after="60"/>
              <w:jc w:val="left"/>
            </w:pP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7C71" w14:textId="1FA78EA9" w:rsidR="009A52C7" w:rsidRPr="009D02FB" w:rsidRDefault="009A52C7" w:rsidP="00BC1FBF">
            <w:pPr>
              <w:spacing w:after="60"/>
              <w:jc w:val="left"/>
            </w:pPr>
          </w:p>
        </w:tc>
      </w:tr>
    </w:tbl>
    <w:p w14:paraId="7D21156F" w14:textId="77777777" w:rsidR="00ED25F9" w:rsidRDefault="00ED25F9" w:rsidP="00ED25F9">
      <w:pPr>
        <w:spacing w:after="200" w:line="276" w:lineRule="auto"/>
        <w:jc w:val="left"/>
      </w:pPr>
    </w:p>
    <w:sectPr w:rsidR="00ED25F9" w:rsidSect="00BE0CC4">
      <w:pgSz w:w="15840" w:h="12240" w:orient="landscape" w:code="1"/>
      <w:pgMar w:top="1080" w:right="1296" w:bottom="1080" w:left="1152" w:header="576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5F9"/>
    <w:rsid w:val="00153CD6"/>
    <w:rsid w:val="00895018"/>
    <w:rsid w:val="009A52C7"/>
    <w:rsid w:val="00D32F6A"/>
    <w:rsid w:val="00ED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76A59"/>
  <w15:chartTrackingRefBased/>
  <w15:docId w15:val="{FB682806-636F-4CA2-899C-85372BA5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5F9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25F9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25F9"/>
    <w:rPr>
      <w:rFonts w:ascii="Times New Roman" w:eastAsiaTheme="minorEastAsia" w:hAnsi="Times New Roman" w:cs="Times New Roman"/>
      <w:b/>
      <w:bCs/>
      <w:kern w:val="0"/>
      <w14:ligatures w14:val="none"/>
    </w:rPr>
  </w:style>
  <w:style w:type="table" w:styleId="TableGrid">
    <w:name w:val="Table Grid"/>
    <w:aliases w:val="Table IVV"/>
    <w:basedOn w:val="TableNormal"/>
    <w:uiPriority w:val="59"/>
    <w:rsid w:val="00ED25F9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Haney, Dennis</dc:creator>
  <cp:keywords/>
  <dc:description/>
  <cp:lastModifiedBy>Haney, Dennis</cp:lastModifiedBy>
  <cp:revision>4</cp:revision>
  <dcterms:created xsi:type="dcterms:W3CDTF">2023-08-31T15:32:00Z</dcterms:created>
  <dcterms:modified xsi:type="dcterms:W3CDTF">2023-11-01T14:57:00Z</dcterms:modified>
</cp:coreProperties>
</file>