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D919" w14:textId="77777777" w:rsidR="00000000" w:rsidRDefault="000E0CD5">
      <w:pPr>
        <w:overflowPunct/>
        <w:autoSpaceDE/>
        <w:autoSpaceDN/>
        <w:adjustRightInd/>
        <w:jc w:val="center"/>
        <w:textAlignment w:val="auto"/>
        <w:rPr>
          <w:b/>
          <w:sz w:val="24"/>
          <w:szCs w:val="24"/>
        </w:rPr>
      </w:pPr>
      <w:r>
        <w:rPr>
          <w:b/>
          <w:sz w:val="24"/>
          <w:szCs w:val="24"/>
        </w:rPr>
        <w:t xml:space="preserve">Second </w:t>
      </w:r>
      <w:r>
        <w:rPr>
          <w:b/>
          <w:sz w:val="24"/>
          <w:szCs w:val="24"/>
        </w:rPr>
        <w:t xml:space="preserve">Amendment to the Iowa Department of Human Services </w:t>
      </w:r>
    </w:p>
    <w:p w14:paraId="19855F3D" w14:textId="77777777" w:rsidR="00000000" w:rsidRDefault="000E0CD5">
      <w:pPr>
        <w:overflowPunct/>
        <w:autoSpaceDE/>
        <w:autoSpaceDN/>
        <w:adjustRightInd/>
        <w:jc w:val="center"/>
        <w:textAlignment w:val="auto"/>
        <w:rPr>
          <w:b/>
          <w:sz w:val="24"/>
          <w:szCs w:val="24"/>
        </w:rPr>
      </w:pPr>
      <w:r>
        <w:rPr>
          <w:b/>
          <w:sz w:val="24"/>
          <w:szCs w:val="24"/>
        </w:rPr>
        <w:t>Child Welfare Crisis Intervention, Stabilization, and Reunification Services (CISR) Request for Proposal</w:t>
      </w:r>
    </w:p>
    <w:p w14:paraId="2CA361C1" w14:textId="77777777" w:rsidR="00000000" w:rsidRDefault="000E0CD5">
      <w:pPr>
        <w:keepNext/>
        <w:keepLines/>
        <w:rPr>
          <w:sz w:val="24"/>
          <w:szCs w:val="24"/>
        </w:rPr>
      </w:pPr>
    </w:p>
    <w:p w14:paraId="12EA049B" w14:textId="77777777" w:rsidR="00000000" w:rsidRDefault="000E0CD5">
      <w:pPr>
        <w:rPr>
          <w:sz w:val="24"/>
          <w:szCs w:val="24"/>
        </w:rPr>
      </w:pPr>
      <w:r>
        <w:rPr>
          <w:sz w:val="24"/>
          <w:szCs w:val="24"/>
        </w:rPr>
        <w:t>This Amendment to RFP Number ACFS 24-001 is effective as of September 7, 2022.  The RFP is amended</w:t>
      </w:r>
      <w:r>
        <w:rPr>
          <w:sz w:val="24"/>
          <w:szCs w:val="24"/>
        </w:rPr>
        <w:t xml:space="preserve"> as follows:</w:t>
      </w:r>
    </w:p>
    <w:p w14:paraId="36BF5978" w14:textId="77777777" w:rsidR="00000000" w:rsidRDefault="000E0CD5">
      <w:pPr>
        <w:pStyle w:val="BodyText2"/>
        <w:jc w:val="left"/>
        <w:rPr>
          <w:bCs/>
          <w:sz w:val="24"/>
          <w:szCs w:val="24"/>
          <w:highlight w:val="green"/>
          <w:u w:val="single"/>
        </w:rPr>
      </w:pPr>
    </w:p>
    <w:p w14:paraId="65D81C0B"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Revision 1.  1.3.3.1 CWES Overview, bullet 3, Page 27,  is hereby revised as follows:</w:t>
      </w:r>
    </w:p>
    <w:p w14:paraId="2EB8CED4"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Children with or without court involvement referred to CWES for whom it has been agreed upon between Contractor and Agency/JCS/Law Enforcement that temporar</w:t>
      </w:r>
      <w:r>
        <w:rPr>
          <w:rFonts w:eastAsiaTheme="minorEastAsia"/>
          <w:bCs/>
          <w:sz w:val="24"/>
          <w:szCs w:val="24"/>
        </w:rPr>
        <w:t xml:space="preserve">y informal placement into a shelter bed is the most appropriate service.  </w:t>
      </w:r>
    </w:p>
    <w:p w14:paraId="02E36606" w14:textId="77777777" w:rsidR="00000000" w:rsidRDefault="000E0CD5">
      <w:pPr>
        <w:overflowPunct/>
        <w:autoSpaceDE/>
        <w:autoSpaceDN/>
        <w:adjustRightInd/>
        <w:textAlignment w:val="auto"/>
        <w:rPr>
          <w:rFonts w:eastAsiaTheme="minorEastAsia"/>
          <w:b/>
          <w:bCs/>
          <w:sz w:val="24"/>
          <w:szCs w:val="24"/>
        </w:rPr>
      </w:pPr>
    </w:p>
    <w:p w14:paraId="68CDA0D6"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 xml:space="preserve">Revision 2.  Section 3.1 Bid Proposal Formatting , Page 88, </w:t>
      </w:r>
      <w:r>
        <w:rPr>
          <w:rFonts w:eastAsiaTheme="minorEastAsia"/>
          <w:b/>
          <w:bCs/>
          <w:sz w:val="24"/>
          <w:szCs w:val="24"/>
        </w:rPr>
        <w:t>“</w:t>
      </w:r>
      <w:r>
        <w:rPr>
          <w:rFonts w:eastAsiaTheme="minorEastAsia"/>
          <w:b/>
          <w:bCs/>
          <w:sz w:val="24"/>
          <w:szCs w:val="24"/>
        </w:rPr>
        <w:t>Page Limit</w:t>
      </w:r>
      <w:r>
        <w:rPr>
          <w:rFonts w:eastAsiaTheme="minorEastAsia"/>
          <w:b/>
          <w:bCs/>
          <w:sz w:val="24"/>
          <w:szCs w:val="24"/>
        </w:rPr>
        <w:t>”</w:t>
      </w:r>
      <w:r>
        <w:rPr>
          <w:rFonts w:eastAsiaTheme="minorEastAsia"/>
          <w:b/>
          <w:bCs/>
          <w:sz w:val="24"/>
          <w:szCs w:val="24"/>
        </w:rPr>
        <w:t xml:space="preserve"> Row, "Specifications" Column of the table is revised as follows:</w:t>
      </w:r>
    </w:p>
    <w:p w14:paraId="33A0157A"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 xml:space="preserve">Pages included in Proposal Tab 2 and any attachments the Bidder creates in a </w:t>
      </w:r>
      <w:r>
        <w:rPr>
          <w:rFonts w:eastAsiaTheme="minorEastAsia"/>
          <w:bCs/>
          <w:sz w:val="24"/>
          <w:szCs w:val="24"/>
        </w:rPr>
        <w:t>“</w:t>
      </w:r>
      <w:r>
        <w:rPr>
          <w:rFonts w:eastAsiaTheme="minorEastAsia"/>
          <w:bCs/>
          <w:sz w:val="24"/>
          <w:szCs w:val="24"/>
        </w:rPr>
        <w:t>Tab 2 Attachments</w:t>
      </w:r>
      <w:r>
        <w:rPr>
          <w:rFonts w:eastAsiaTheme="minorEastAsia"/>
          <w:bCs/>
          <w:sz w:val="24"/>
          <w:szCs w:val="24"/>
        </w:rPr>
        <w:t>”</w:t>
      </w:r>
      <w:r>
        <w:rPr>
          <w:rFonts w:eastAsiaTheme="minorEastAsia"/>
          <w:bCs/>
          <w:sz w:val="24"/>
          <w:szCs w:val="24"/>
        </w:rPr>
        <w:t xml:space="preserve"> section are limited as described below.  See Section 3.2 for further information about Tab 2 Attachments.  </w:t>
      </w:r>
      <w:r>
        <w:rPr>
          <w:rFonts w:eastAsiaTheme="minorEastAsia"/>
          <w:bCs/>
          <w:sz w:val="24"/>
          <w:szCs w:val="24"/>
        </w:rPr>
        <w:br/>
      </w:r>
      <w:r>
        <w:rPr>
          <w:rFonts w:eastAsiaTheme="minorEastAsia"/>
          <w:bCs/>
          <w:sz w:val="24"/>
          <w:szCs w:val="24"/>
        </w:rPr>
        <w:br/>
        <w:t>There will be page limits in place for the Technic</w:t>
      </w:r>
      <w:r>
        <w:rPr>
          <w:rFonts w:eastAsiaTheme="minorEastAsia"/>
          <w:bCs/>
          <w:sz w:val="24"/>
          <w:szCs w:val="24"/>
        </w:rPr>
        <w:t xml:space="preserve">al Response for FGCS/QRTP, CWES, and SAL (Attachments N, O, P).  </w:t>
      </w:r>
      <w:r>
        <w:rPr>
          <w:rFonts w:eastAsiaTheme="minorEastAsia"/>
          <w:bCs/>
          <w:sz w:val="24"/>
          <w:szCs w:val="24"/>
        </w:rPr>
        <w:br/>
      </w:r>
      <w:r>
        <w:rPr>
          <w:rFonts w:eastAsiaTheme="minorEastAsia"/>
          <w:bCs/>
          <w:sz w:val="24"/>
          <w:szCs w:val="24"/>
        </w:rPr>
        <w:t>•</w:t>
      </w:r>
      <w:r>
        <w:rPr>
          <w:rFonts w:eastAsiaTheme="minorEastAsia"/>
          <w:bCs/>
          <w:sz w:val="24"/>
          <w:szCs w:val="24"/>
        </w:rPr>
        <w:tab/>
        <w:t xml:space="preserve">The Page limit for CISR Attachment N - CWES Technical Proposal Template and any associated Attachments to Attachment N is 100 pages. </w:t>
      </w:r>
      <w:r>
        <w:rPr>
          <w:rFonts w:eastAsiaTheme="minorEastAsia"/>
          <w:bCs/>
          <w:sz w:val="24"/>
          <w:szCs w:val="24"/>
        </w:rPr>
        <w:br/>
      </w:r>
      <w:r>
        <w:rPr>
          <w:rFonts w:eastAsiaTheme="minorEastAsia"/>
          <w:bCs/>
          <w:sz w:val="24"/>
          <w:szCs w:val="24"/>
        </w:rPr>
        <w:t>•</w:t>
      </w:r>
      <w:r>
        <w:rPr>
          <w:rFonts w:eastAsiaTheme="minorEastAsia"/>
          <w:bCs/>
          <w:sz w:val="24"/>
          <w:szCs w:val="24"/>
        </w:rPr>
        <w:tab/>
        <w:t>The Page limit for CISR Attachment O - FGCS/QRTP Tec</w:t>
      </w:r>
      <w:r>
        <w:rPr>
          <w:rFonts w:eastAsiaTheme="minorEastAsia"/>
          <w:bCs/>
          <w:sz w:val="24"/>
          <w:szCs w:val="24"/>
        </w:rPr>
        <w:t xml:space="preserve">hnical Proposal Template and any associated Attachments to Attachment O is 200 pages. </w:t>
      </w:r>
      <w:r>
        <w:rPr>
          <w:rFonts w:eastAsiaTheme="minorEastAsia"/>
          <w:bCs/>
          <w:sz w:val="24"/>
          <w:szCs w:val="24"/>
        </w:rPr>
        <w:br/>
      </w:r>
      <w:r>
        <w:rPr>
          <w:rFonts w:eastAsiaTheme="minorEastAsia"/>
          <w:bCs/>
          <w:sz w:val="24"/>
          <w:szCs w:val="24"/>
        </w:rPr>
        <w:t>•</w:t>
      </w:r>
      <w:r>
        <w:rPr>
          <w:rFonts w:eastAsiaTheme="minorEastAsia"/>
          <w:bCs/>
          <w:sz w:val="24"/>
          <w:szCs w:val="24"/>
        </w:rPr>
        <w:tab/>
        <w:t>The Page limit for CISR Attachment P - SAL Technical Proposal Template and any associated Attachments to Attachment P is 100 pages</w:t>
      </w:r>
    </w:p>
    <w:p w14:paraId="1F64AABC" w14:textId="77777777" w:rsidR="00000000" w:rsidRDefault="000E0CD5">
      <w:pPr>
        <w:overflowPunct/>
        <w:autoSpaceDE/>
        <w:autoSpaceDN/>
        <w:adjustRightInd/>
        <w:textAlignment w:val="auto"/>
        <w:rPr>
          <w:rFonts w:eastAsiaTheme="minorEastAsia"/>
          <w:b/>
          <w:bCs/>
          <w:sz w:val="24"/>
          <w:szCs w:val="24"/>
        </w:rPr>
      </w:pPr>
    </w:p>
    <w:p w14:paraId="73F6B7B9"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Revision 3.  Attachment N: CWES Tec</w:t>
      </w:r>
      <w:r>
        <w:rPr>
          <w:rFonts w:eastAsiaTheme="minorEastAsia"/>
          <w:b/>
          <w:bCs/>
          <w:sz w:val="24"/>
          <w:szCs w:val="24"/>
        </w:rPr>
        <w:t xml:space="preserve">hnical Response Template, Page 2, under the </w:t>
      </w:r>
      <w:r>
        <w:rPr>
          <w:rFonts w:eastAsiaTheme="minorEastAsia"/>
          <w:b/>
          <w:bCs/>
          <w:sz w:val="24"/>
          <w:szCs w:val="24"/>
        </w:rPr>
        <w:t>“</w:t>
      </w:r>
      <w:r>
        <w:rPr>
          <w:rFonts w:eastAsiaTheme="minorEastAsia"/>
          <w:b/>
          <w:bCs/>
          <w:sz w:val="24"/>
          <w:szCs w:val="24"/>
        </w:rPr>
        <w:t>Instructions:</w:t>
      </w:r>
      <w:r>
        <w:rPr>
          <w:rFonts w:eastAsiaTheme="minorEastAsia"/>
          <w:b/>
          <w:bCs/>
          <w:sz w:val="24"/>
          <w:szCs w:val="24"/>
        </w:rPr>
        <w:t>”</w:t>
      </w:r>
      <w:r>
        <w:rPr>
          <w:rFonts w:eastAsiaTheme="minorEastAsia"/>
          <w:b/>
          <w:bCs/>
          <w:sz w:val="24"/>
          <w:szCs w:val="24"/>
        </w:rPr>
        <w:t xml:space="preserve"> heading, the first paragraph is amended as follows. Bidders shall use Amendment 2 - Attachment N: CWES Technical Response Template Amended in their submittal</w:t>
      </w:r>
    </w:p>
    <w:p w14:paraId="5AF334B5"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Please use the yellow shaded fields to</w:t>
      </w:r>
      <w:r>
        <w:rPr>
          <w:rFonts w:eastAsiaTheme="minorEastAsia"/>
          <w:bCs/>
          <w:sz w:val="24"/>
          <w:szCs w:val="24"/>
        </w:rPr>
        <w:t xml:space="preserve"> indicate your answers to the following questions.  The yellow fields will automatically expand to accommodate content.  Every attempt should be made to preserve the original format of this form.  A completed Technical Response Template is a requirement fo</w:t>
      </w:r>
      <w:r>
        <w:rPr>
          <w:rFonts w:eastAsiaTheme="minorEastAsia"/>
          <w:bCs/>
          <w:sz w:val="24"/>
          <w:szCs w:val="24"/>
        </w:rPr>
        <w:t>r proposal submission.  Failure to complete and submit this form may impact your proposal</w:t>
      </w:r>
      <w:r>
        <w:rPr>
          <w:rFonts w:eastAsiaTheme="minorEastAsia"/>
          <w:bCs/>
          <w:sz w:val="24"/>
          <w:szCs w:val="24"/>
        </w:rPr>
        <w:t>’</w:t>
      </w:r>
      <w:r>
        <w:rPr>
          <w:rFonts w:eastAsiaTheme="minorEastAsia"/>
          <w:bCs/>
          <w:sz w:val="24"/>
          <w:szCs w:val="24"/>
        </w:rPr>
        <w:t>s responsiveness.  Responses to each component and section should fully address all requirements of the relevant Scope of Work.  Please note, the page limit for the C</w:t>
      </w:r>
      <w:r>
        <w:rPr>
          <w:rFonts w:eastAsiaTheme="minorEastAsia"/>
          <w:bCs/>
          <w:sz w:val="24"/>
          <w:szCs w:val="24"/>
        </w:rPr>
        <w:t>WES Technical Response and any attachments to Attachment N is 100 pages.</w:t>
      </w:r>
      <w:r>
        <w:rPr>
          <w:rFonts w:eastAsiaTheme="minorEastAsia"/>
          <w:bCs/>
          <w:sz w:val="24"/>
          <w:szCs w:val="24"/>
        </w:rPr>
        <w:br/>
      </w:r>
    </w:p>
    <w:p w14:paraId="3F39F160" w14:textId="77777777" w:rsidR="00000000" w:rsidRDefault="000E0CD5">
      <w:pPr>
        <w:overflowPunct/>
        <w:autoSpaceDE/>
        <w:autoSpaceDN/>
        <w:adjustRightInd/>
        <w:textAlignment w:val="auto"/>
        <w:rPr>
          <w:rFonts w:eastAsiaTheme="minorEastAsia"/>
          <w:b/>
          <w:bCs/>
          <w:sz w:val="24"/>
          <w:szCs w:val="24"/>
        </w:rPr>
      </w:pPr>
    </w:p>
    <w:p w14:paraId="2CEDBFC0"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 xml:space="preserve">Revision 4.  Attachment O: FGCS Technical Response Template, Page 3, under the </w:t>
      </w:r>
      <w:r>
        <w:rPr>
          <w:rFonts w:eastAsiaTheme="minorEastAsia"/>
          <w:b/>
          <w:bCs/>
          <w:sz w:val="24"/>
          <w:szCs w:val="24"/>
        </w:rPr>
        <w:t>“</w:t>
      </w:r>
      <w:r>
        <w:rPr>
          <w:rFonts w:eastAsiaTheme="minorEastAsia"/>
          <w:b/>
          <w:bCs/>
          <w:sz w:val="24"/>
          <w:szCs w:val="24"/>
        </w:rPr>
        <w:t>Instructions:</w:t>
      </w:r>
      <w:r>
        <w:rPr>
          <w:rFonts w:eastAsiaTheme="minorEastAsia"/>
          <w:b/>
          <w:bCs/>
          <w:sz w:val="24"/>
          <w:szCs w:val="24"/>
        </w:rPr>
        <w:t>”</w:t>
      </w:r>
      <w:r>
        <w:rPr>
          <w:rFonts w:eastAsiaTheme="minorEastAsia"/>
          <w:b/>
          <w:bCs/>
          <w:sz w:val="24"/>
          <w:szCs w:val="24"/>
        </w:rPr>
        <w:t xml:space="preserve"> heading, the first paragraph is amended as follows. Bidders shall use Amendment 2 - At</w:t>
      </w:r>
      <w:r>
        <w:rPr>
          <w:rFonts w:eastAsiaTheme="minorEastAsia"/>
          <w:b/>
          <w:bCs/>
          <w:sz w:val="24"/>
          <w:szCs w:val="24"/>
        </w:rPr>
        <w:t>tachment O: FGCS Technical Response Template Amended in their submittal.</w:t>
      </w:r>
    </w:p>
    <w:p w14:paraId="37E1F45A"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 xml:space="preserve">Please use the yellow shaded fields to indicate your answers to the following questions.  The yellow fields will automatically expand to accommodate content.  Every attempt should be </w:t>
      </w:r>
      <w:r>
        <w:rPr>
          <w:rFonts w:eastAsiaTheme="minorEastAsia"/>
          <w:bCs/>
          <w:sz w:val="24"/>
          <w:szCs w:val="24"/>
        </w:rPr>
        <w:t xml:space="preserve">made </w:t>
      </w:r>
      <w:r>
        <w:rPr>
          <w:rFonts w:eastAsiaTheme="minorEastAsia"/>
          <w:bCs/>
          <w:sz w:val="24"/>
          <w:szCs w:val="24"/>
        </w:rPr>
        <w:lastRenderedPageBreak/>
        <w:t>to preserve the original format of this form.  A completed Technical Response Template is a requirement for proposal submission.  Failure to complete and submit this form may impact your proposal</w:t>
      </w:r>
      <w:r>
        <w:rPr>
          <w:rFonts w:eastAsiaTheme="minorEastAsia"/>
          <w:bCs/>
          <w:sz w:val="24"/>
          <w:szCs w:val="24"/>
        </w:rPr>
        <w:t>’</w:t>
      </w:r>
      <w:r>
        <w:rPr>
          <w:rFonts w:eastAsiaTheme="minorEastAsia"/>
          <w:bCs/>
          <w:sz w:val="24"/>
          <w:szCs w:val="24"/>
        </w:rPr>
        <w:t>s responsiveness.  Responses to each component and sect</w:t>
      </w:r>
      <w:r>
        <w:rPr>
          <w:rFonts w:eastAsiaTheme="minorEastAsia"/>
          <w:bCs/>
          <w:sz w:val="24"/>
          <w:szCs w:val="24"/>
        </w:rPr>
        <w:t xml:space="preserve">ion should fully address all requirements of the relevant Scope of Work.  Please note, the page limit for the FGCS/QRTP Technical Response and any attachments to Attachment O is 200 pages. </w:t>
      </w:r>
    </w:p>
    <w:p w14:paraId="72680519" w14:textId="77777777" w:rsidR="00000000" w:rsidRDefault="000E0CD5">
      <w:pPr>
        <w:overflowPunct/>
        <w:autoSpaceDE/>
        <w:autoSpaceDN/>
        <w:adjustRightInd/>
        <w:textAlignment w:val="auto"/>
        <w:rPr>
          <w:rFonts w:eastAsiaTheme="minorEastAsia"/>
          <w:b/>
          <w:bCs/>
          <w:sz w:val="24"/>
          <w:szCs w:val="24"/>
        </w:rPr>
      </w:pPr>
    </w:p>
    <w:p w14:paraId="1B987935"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Revision 5.  Attachment O: FGCS Technical Response Template, Page</w:t>
      </w:r>
      <w:r>
        <w:rPr>
          <w:rFonts w:eastAsiaTheme="minorEastAsia"/>
          <w:b/>
          <w:bCs/>
          <w:sz w:val="24"/>
          <w:szCs w:val="24"/>
        </w:rPr>
        <w:t xml:space="preserve"> 4, Table 4 is amended as shown in Amendment 2 - Attachment O: FGCS Technical Response Template Amended document. Bidders shall use Amendment 2 - Attachment O: FGCS Technical Response Template Amended in their submittal.</w:t>
      </w:r>
    </w:p>
    <w:p w14:paraId="436EBA19"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The references to "D-1", "D-2", and</w:t>
      </w:r>
      <w:r>
        <w:rPr>
          <w:rFonts w:eastAsiaTheme="minorEastAsia"/>
          <w:bCs/>
          <w:sz w:val="24"/>
          <w:szCs w:val="24"/>
        </w:rPr>
        <w:t xml:space="preserve"> "D-3" have been removed and replaced with one column titled "Numbers of Beds Proposed at Location"</w:t>
      </w:r>
    </w:p>
    <w:p w14:paraId="09E634BE" w14:textId="77777777" w:rsidR="00000000" w:rsidRDefault="000E0CD5">
      <w:pPr>
        <w:overflowPunct/>
        <w:autoSpaceDE/>
        <w:autoSpaceDN/>
        <w:adjustRightInd/>
        <w:textAlignment w:val="auto"/>
        <w:rPr>
          <w:rFonts w:eastAsiaTheme="minorEastAsia"/>
          <w:b/>
          <w:bCs/>
          <w:sz w:val="24"/>
          <w:szCs w:val="24"/>
        </w:rPr>
      </w:pPr>
    </w:p>
    <w:p w14:paraId="5F820077" w14:textId="77777777" w:rsidR="00000000" w:rsidRDefault="000E0CD5">
      <w:pPr>
        <w:overflowPunct/>
        <w:autoSpaceDE/>
        <w:autoSpaceDN/>
        <w:adjustRightInd/>
        <w:textAlignment w:val="auto"/>
        <w:rPr>
          <w:rFonts w:eastAsiaTheme="minorEastAsia"/>
          <w:b/>
          <w:bCs/>
          <w:sz w:val="24"/>
          <w:szCs w:val="24"/>
        </w:rPr>
      </w:pPr>
      <w:r>
        <w:rPr>
          <w:rFonts w:eastAsiaTheme="minorEastAsia"/>
          <w:b/>
          <w:bCs/>
          <w:sz w:val="24"/>
          <w:szCs w:val="24"/>
        </w:rPr>
        <w:t xml:space="preserve">Revision 6.  Attachment P: SAL Technical Response Template, Page 2, under the </w:t>
      </w:r>
      <w:r>
        <w:rPr>
          <w:rFonts w:eastAsiaTheme="minorEastAsia"/>
          <w:b/>
          <w:bCs/>
          <w:sz w:val="24"/>
          <w:szCs w:val="24"/>
        </w:rPr>
        <w:t>“</w:t>
      </w:r>
      <w:r>
        <w:rPr>
          <w:rFonts w:eastAsiaTheme="minorEastAsia"/>
          <w:b/>
          <w:bCs/>
          <w:sz w:val="24"/>
          <w:szCs w:val="24"/>
        </w:rPr>
        <w:t>Instructions:</w:t>
      </w:r>
      <w:r>
        <w:rPr>
          <w:rFonts w:eastAsiaTheme="minorEastAsia"/>
          <w:b/>
          <w:bCs/>
          <w:sz w:val="24"/>
          <w:szCs w:val="24"/>
        </w:rPr>
        <w:t>”</w:t>
      </w:r>
      <w:r>
        <w:rPr>
          <w:rFonts w:eastAsiaTheme="minorEastAsia"/>
          <w:b/>
          <w:bCs/>
          <w:sz w:val="24"/>
          <w:szCs w:val="24"/>
        </w:rPr>
        <w:t xml:space="preserve"> heading, the first paragraph is amended as follows.  This cha</w:t>
      </w:r>
      <w:r>
        <w:rPr>
          <w:rFonts w:eastAsiaTheme="minorEastAsia"/>
          <w:b/>
          <w:bCs/>
          <w:sz w:val="24"/>
          <w:szCs w:val="24"/>
        </w:rPr>
        <w:t>nge is reflected in the new Amendment 2 - Attachment P: SAL Technical Response Template Amended. Bidders shall use Amendment 2 - Attachment P: SAL Technical Response Template Amended in their submittal.</w:t>
      </w:r>
    </w:p>
    <w:p w14:paraId="1958ABDA" w14:textId="77777777" w:rsidR="00000000" w:rsidRDefault="000E0CD5">
      <w:pPr>
        <w:overflowPunct/>
        <w:autoSpaceDE/>
        <w:autoSpaceDN/>
        <w:adjustRightInd/>
        <w:textAlignment w:val="auto"/>
        <w:rPr>
          <w:rFonts w:eastAsiaTheme="minorEastAsia"/>
          <w:bCs/>
          <w:sz w:val="24"/>
          <w:szCs w:val="24"/>
        </w:rPr>
      </w:pPr>
      <w:r>
        <w:rPr>
          <w:rFonts w:eastAsiaTheme="minorEastAsia"/>
          <w:bCs/>
          <w:sz w:val="24"/>
          <w:szCs w:val="24"/>
        </w:rPr>
        <w:t xml:space="preserve">Please use the yellow shaded fields to indicate your </w:t>
      </w:r>
      <w:r>
        <w:rPr>
          <w:rFonts w:eastAsiaTheme="minorEastAsia"/>
          <w:bCs/>
          <w:sz w:val="24"/>
          <w:szCs w:val="24"/>
        </w:rPr>
        <w:t>answers to the following questions.  The yellow fields will automatically expand to accommodate content.  Every attempt should be made to preserve the original format of this form.   Failure to complete and submit this form may impact your proposal</w:t>
      </w:r>
      <w:r>
        <w:rPr>
          <w:rFonts w:eastAsiaTheme="minorEastAsia"/>
          <w:bCs/>
          <w:sz w:val="24"/>
          <w:szCs w:val="24"/>
        </w:rPr>
        <w:t>’</w:t>
      </w:r>
      <w:r>
        <w:rPr>
          <w:rFonts w:eastAsiaTheme="minorEastAsia"/>
          <w:bCs/>
          <w:sz w:val="24"/>
          <w:szCs w:val="24"/>
        </w:rPr>
        <w:t>s respo</w:t>
      </w:r>
      <w:r>
        <w:rPr>
          <w:rFonts w:eastAsiaTheme="minorEastAsia"/>
          <w:bCs/>
          <w:sz w:val="24"/>
          <w:szCs w:val="24"/>
        </w:rPr>
        <w:t>nsiveness.  Responses to each component and section should fully address all requirements of the relevant Scope of Work.  Please note, the page limit for the SAL Technical Response and any attachments to Attachment P is 100 pages.</w:t>
      </w:r>
    </w:p>
    <w:p w14:paraId="79C57CC5" w14:textId="77777777" w:rsidR="00000000" w:rsidRDefault="000E0CD5">
      <w:pPr>
        <w:overflowPunct/>
        <w:autoSpaceDE/>
        <w:autoSpaceDN/>
        <w:adjustRightInd/>
        <w:textAlignment w:val="auto"/>
        <w:rPr>
          <w:rFonts w:eastAsiaTheme="minorEastAsia"/>
          <w:b/>
          <w:bCs/>
          <w:sz w:val="24"/>
          <w:szCs w:val="24"/>
        </w:rPr>
      </w:pPr>
    </w:p>
    <w:p w14:paraId="285082B6" w14:textId="77777777" w:rsidR="00000000" w:rsidRDefault="000E0CD5">
      <w:pPr>
        <w:overflowPunct/>
        <w:autoSpaceDE/>
        <w:autoSpaceDN/>
        <w:adjustRightInd/>
        <w:textAlignment w:val="auto"/>
        <w:rPr>
          <w:rFonts w:eastAsiaTheme="minorEastAsia"/>
          <w:b/>
          <w:bCs/>
          <w:sz w:val="24"/>
          <w:szCs w:val="24"/>
        </w:rPr>
      </w:pPr>
    </w:p>
    <w:p w14:paraId="33B33E62" w14:textId="77777777" w:rsidR="00000000" w:rsidRDefault="000E0CD5">
      <w:pPr>
        <w:overflowPunct/>
        <w:autoSpaceDE/>
        <w:autoSpaceDN/>
        <w:adjustRightInd/>
        <w:textAlignment w:val="auto"/>
        <w:rPr>
          <w:rFonts w:eastAsiaTheme="minorEastAsia"/>
          <w:b/>
          <w:bCs/>
          <w:sz w:val="24"/>
          <w:szCs w:val="24"/>
        </w:rPr>
      </w:pPr>
    </w:p>
    <w:p w14:paraId="7E6D0D44" w14:textId="77777777" w:rsidR="000E0CD5" w:rsidRDefault="000E0CD5">
      <w:pPr>
        <w:overflowPunct/>
        <w:autoSpaceDE/>
        <w:autoSpaceDN/>
        <w:adjustRightInd/>
        <w:textAlignment w:val="auto"/>
        <w:rPr>
          <w:bCs/>
          <w:sz w:val="24"/>
          <w:szCs w:val="24"/>
        </w:rPr>
      </w:pPr>
    </w:p>
    <w:sectPr w:rsidR="000E0CD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0DBE" w14:textId="77777777" w:rsidR="000E0CD5" w:rsidRDefault="000E0CD5">
      <w:r>
        <w:separator/>
      </w:r>
    </w:p>
    <w:p w14:paraId="33BDDD7C" w14:textId="77777777" w:rsidR="000E0CD5" w:rsidRDefault="000E0CD5"/>
  </w:endnote>
  <w:endnote w:type="continuationSeparator" w:id="0">
    <w:p w14:paraId="4B6F1313" w14:textId="77777777" w:rsidR="000E0CD5" w:rsidRDefault="000E0CD5">
      <w:r>
        <w:continuationSeparator/>
      </w:r>
    </w:p>
    <w:p w14:paraId="7F3BA9B3" w14:textId="77777777" w:rsidR="000E0CD5" w:rsidRDefault="000E0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162A" w14:textId="77777777" w:rsidR="00000000" w:rsidRDefault="000E0CD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52C64" w14:textId="77777777" w:rsidR="00000000" w:rsidRDefault="000E0CD5">
    <w:pPr>
      <w:pStyle w:val="Footer"/>
    </w:pPr>
  </w:p>
  <w:p w14:paraId="4B64B7B8" w14:textId="77777777" w:rsidR="00000000" w:rsidRDefault="000E0C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4C3C" w14:textId="77777777" w:rsidR="00000000" w:rsidRDefault="000E0CD5">
    <w:pPr>
      <w:pStyle w:val="Footer"/>
      <w:framePr w:wrap="auto" w:vAnchor="text" w:hAnchor="margin" w:xAlign="center" w:y="1"/>
      <w:rPr>
        <w:rStyle w:val="PageNumber"/>
      </w:rPr>
    </w:pPr>
  </w:p>
  <w:p w14:paraId="448D56DD" w14:textId="77777777" w:rsidR="00000000" w:rsidRDefault="000E0CD5">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7D4A378B" w14:textId="77777777" w:rsidR="00000000" w:rsidRDefault="000E0CD5">
    <w:pPr>
      <w:pStyle w:val="Footer"/>
      <w:rPr>
        <w:sz w:val="20"/>
      </w:rPr>
    </w:pPr>
  </w:p>
  <w:p w14:paraId="2341D8D7" w14:textId="77777777" w:rsidR="00000000" w:rsidRDefault="000E0CD5">
    <w:pPr>
      <w:pStyle w:val="Footer"/>
      <w:tabs>
        <w:tab w:val="clear" w:pos="8640"/>
        <w:tab w:val="left" w:pos="0"/>
        <w:tab w:val="right" w:pos="9360"/>
      </w:tabs>
      <w:rPr>
        <w:sz w:val="16"/>
      </w:rPr>
    </w:pPr>
    <w:r>
      <w:rPr>
        <w:sz w:val="16"/>
      </w:rPr>
      <w:tab/>
    </w:r>
    <w:r>
      <w:rPr>
        <w:sz w:val="16"/>
      </w:rPr>
      <w:tab/>
    </w:r>
  </w:p>
  <w:p w14:paraId="302887FF" w14:textId="77777777" w:rsidR="00000000" w:rsidRDefault="000E0C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967B" w14:textId="77777777" w:rsidR="00000000" w:rsidRDefault="000E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758D" w14:textId="77777777" w:rsidR="000E0CD5" w:rsidRDefault="000E0CD5">
      <w:r>
        <w:separator/>
      </w:r>
    </w:p>
    <w:p w14:paraId="25E5A666" w14:textId="77777777" w:rsidR="000E0CD5" w:rsidRDefault="000E0CD5"/>
  </w:footnote>
  <w:footnote w:type="continuationSeparator" w:id="0">
    <w:p w14:paraId="44F279A9" w14:textId="77777777" w:rsidR="000E0CD5" w:rsidRDefault="000E0CD5">
      <w:r>
        <w:continuationSeparator/>
      </w:r>
    </w:p>
    <w:p w14:paraId="25322AA1" w14:textId="77777777" w:rsidR="000E0CD5" w:rsidRDefault="000E0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EA1F" w14:textId="77777777" w:rsidR="00000000" w:rsidRDefault="000E0CD5">
    <w:pPr>
      <w:pStyle w:val="Header"/>
    </w:pPr>
  </w:p>
  <w:p w14:paraId="1FA28A05" w14:textId="77777777" w:rsidR="00000000" w:rsidRDefault="000E0C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5547" w14:textId="77777777" w:rsidR="00000000" w:rsidRDefault="000E0CD5">
    <w:pPr>
      <w:pStyle w:val="Header"/>
      <w:jc w:val="right"/>
      <w:rPr>
        <w:sz w:val="18"/>
        <w:szCs w:val="18"/>
      </w:rPr>
    </w:pPr>
    <w:r>
      <w:rPr>
        <w:sz w:val="18"/>
        <w:szCs w:val="18"/>
      </w:rPr>
      <w:t>ACFS 24-001</w:t>
    </w:r>
  </w:p>
  <w:p w14:paraId="121D593E" w14:textId="77777777" w:rsidR="00000000" w:rsidRDefault="000E0CD5">
    <w:pPr>
      <w:pStyle w:val="Header"/>
      <w:rPr>
        <w:sz w:val="18"/>
        <w:szCs w:val="18"/>
      </w:rPr>
    </w:pPr>
  </w:p>
  <w:p w14:paraId="0AF547D7" w14:textId="77777777" w:rsidR="00000000" w:rsidRDefault="000E0C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C4BA" w14:textId="77777777" w:rsidR="00000000" w:rsidRDefault="000E0CD5">
    <w:pPr>
      <w:pStyle w:val="Header"/>
      <w:jc w:val="right"/>
      <w:rPr>
        <w:sz w:val="18"/>
        <w:szCs w:val="18"/>
      </w:rPr>
    </w:pPr>
    <w:r>
      <w:rPr>
        <w:sz w:val="18"/>
        <w:szCs w:val="18"/>
      </w:rPr>
      <w:t>***Contract #***</w:t>
    </w:r>
  </w:p>
  <w:p w14:paraId="2772D80E" w14:textId="77777777" w:rsidR="00000000" w:rsidRDefault="000E0CD5">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E6"/>
    <w:rsid w:val="000E0CD5"/>
    <w:rsid w:val="0027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49B8D"/>
  <w14:defaultImageDpi w14:val="0"/>
  <w15:docId w15:val="{C114D5D8-743C-4685-A3D3-A222ABF7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Company>State of Iowa</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Roovaart, Ryan M.</cp:lastModifiedBy>
  <cp:revision>2</cp:revision>
  <cp:lastPrinted>2017-03-16T19:18:00Z</cp:lastPrinted>
  <dcterms:created xsi:type="dcterms:W3CDTF">2022-09-07T21:17:00Z</dcterms:created>
  <dcterms:modified xsi:type="dcterms:W3CDTF">2022-09-07T21:17:00Z</dcterms:modified>
</cp:coreProperties>
</file>