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0F244F44" w14:textId="63048F49" w:rsidR="000D0231" w:rsidRPr="00176557" w:rsidRDefault="00230C2C" w:rsidP="00630429">
            <w:pPr>
              <w:spacing w:after="0"/>
              <w:rPr>
                <w:rFonts w:ascii="Calibri" w:hAnsi="Calibri"/>
                <w:bCs/>
              </w:rPr>
            </w:pPr>
            <w:r w:rsidRPr="008852FA">
              <w:rPr>
                <w:rFonts w:ascii="Calibri" w:hAnsi="Calibri"/>
                <w:b/>
              </w:rPr>
              <w:t>Transition Services and Aftercare</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7B43A3DE" w:rsidR="000D0231" w:rsidRPr="009E13BD" w:rsidRDefault="00230C2C" w:rsidP="00630429">
            <w:pPr>
              <w:spacing w:after="0"/>
              <w:rPr>
                <w:rFonts w:ascii="Calibri" w:hAnsi="Calibri"/>
                <w:b/>
                <w:bCs/>
              </w:rPr>
            </w:pPr>
            <w:r w:rsidRPr="008852FA">
              <w:rPr>
                <w:rFonts w:ascii="Calibri" w:hAnsi="Calibri"/>
                <w:b/>
                <w:bCs/>
              </w:rPr>
              <w:t>JUV-27-TS-08-002</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w:t>
            </w:r>
            <w:proofErr w:type="gramStart"/>
            <w:r w:rsidR="00176497">
              <w:rPr>
                <w:rFonts w:ascii="Calibri" w:hAnsi="Calibri"/>
                <w:bCs/>
              </w:rPr>
              <w:t>exercisable</w:t>
            </w:r>
            <w:proofErr w:type="gramEnd"/>
            <w:r w:rsidR="00176497">
              <w:rPr>
                <w:rFonts w:ascii="Calibri" w:hAnsi="Calibri"/>
                <w:bCs/>
              </w:rPr>
              <w:t xml:space="preserv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6C700CC1" w:rsidR="002B68AE" w:rsidRPr="00230C2C" w:rsidRDefault="002B68AE" w:rsidP="00877BAF">
            <w:pPr>
              <w:rPr>
                <w:rFonts w:ascii="Calibri" w:hAnsi="Calibri"/>
              </w:rPr>
            </w:pPr>
            <w:r w:rsidRPr="00230C2C">
              <w:rPr>
                <w:rFonts w:ascii="Calibri" w:hAnsi="Calibri"/>
              </w:rPr>
              <w:t>$</w:t>
            </w:r>
            <w:r w:rsidR="00230C2C">
              <w:rPr>
                <w:rFonts w:ascii="Calibri" w:hAnsi="Calibri"/>
              </w:rPr>
              <w:t>265,000.00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77777777" w:rsidR="00815684" w:rsidRDefault="00815684" w:rsidP="00815684">
            <w:pPr>
              <w:tabs>
                <w:tab w:val="left" w:leader="underscore" w:pos="8640"/>
              </w:tabs>
              <w:spacing w:after="0" w:line="240" w:lineRule="auto"/>
              <w:rPr>
                <w:rFonts w:ascii="Calibri" w:hAnsi="Calibri"/>
              </w:rPr>
            </w:pPr>
            <w:r>
              <w:rPr>
                <w:rFonts w:ascii="Calibri" w:hAnsi="Calibri"/>
              </w:rPr>
              <w:t>Natalie Miller</w:t>
            </w:r>
          </w:p>
          <w:p w14:paraId="51B52D49" w14:textId="77777777" w:rsidR="00815684" w:rsidRDefault="00815684" w:rsidP="00815684">
            <w:pPr>
              <w:tabs>
                <w:tab w:val="left" w:leader="underscore" w:pos="8640"/>
              </w:tabs>
              <w:spacing w:after="0" w:line="240" w:lineRule="auto"/>
              <w:rPr>
                <w:rFonts w:ascii="Calibri" w:hAnsi="Calibri"/>
              </w:rPr>
            </w:pPr>
            <w:r>
              <w:rPr>
                <w:rFonts w:ascii="Calibri" w:hAnsi="Calibri"/>
              </w:rPr>
              <w:t>712-635-6969</w:t>
            </w:r>
          </w:p>
          <w:p w14:paraId="2E9739D7" w14:textId="77777777" w:rsidR="00815684" w:rsidRDefault="00815684" w:rsidP="00815684">
            <w:pPr>
              <w:tabs>
                <w:tab w:val="left" w:leader="underscore" w:pos="8640"/>
              </w:tabs>
              <w:spacing w:after="0" w:line="240" w:lineRule="auto"/>
              <w:rPr>
                <w:rFonts w:ascii="Calibri" w:hAnsi="Calibri"/>
              </w:rPr>
            </w:pPr>
            <w:hyperlink r:id="rId11" w:history="1">
              <w:r w:rsidRPr="004436C2">
                <w:rPr>
                  <w:rStyle w:val="Hyperlink"/>
                  <w:rFonts w:ascii="Calibri" w:hAnsi="Calibri"/>
                </w:rPr>
                <w:t>natalie.miller@iowacourts.gov</w:t>
              </w:r>
            </w:hyperlink>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815684" w:rsidRPr="009E13BD" w14:paraId="30CA14A9" w14:textId="77777777" w:rsidTr="00877BAF">
        <w:tc>
          <w:tcPr>
            <w:tcW w:w="7218" w:type="dxa"/>
            <w:gridSpan w:val="4"/>
          </w:tcPr>
          <w:p w14:paraId="41DD7A74" w14:textId="42C93758" w:rsidR="00815684" w:rsidRPr="00815684" w:rsidRDefault="00815684" w:rsidP="00815684">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50A0C07"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13</w:t>
            </w:r>
            <w:r w:rsidRPr="005B4E97">
              <w:rPr>
                <w:rFonts w:ascii="Calibri" w:hAnsi="Calibri"/>
                <w:b/>
              </w:rPr>
              <w:t>/2026</w:t>
            </w:r>
          </w:p>
        </w:tc>
      </w:tr>
      <w:tr w:rsidR="00815684" w:rsidRPr="009E13BD" w14:paraId="6E73EC15" w14:textId="77777777" w:rsidTr="00877BAF">
        <w:tc>
          <w:tcPr>
            <w:tcW w:w="7218" w:type="dxa"/>
            <w:gridSpan w:val="4"/>
          </w:tcPr>
          <w:p w14:paraId="538762C6" w14:textId="77777777" w:rsidR="00815684" w:rsidRPr="00815684" w:rsidRDefault="00815684" w:rsidP="00815684">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4E908EE0"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15</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1153CB68" w:rsidR="00815684" w:rsidRPr="00815684" w:rsidRDefault="00815684" w:rsidP="00815684">
            <w:pPr>
              <w:spacing w:after="0"/>
              <w:rPr>
                <w:rFonts w:ascii="Calibri" w:hAnsi="Calibri"/>
              </w:rPr>
            </w:pPr>
            <w:r w:rsidRPr="00815684">
              <w:rPr>
                <w:rFonts w:ascii="Calibri" w:hAnsi="Calibri"/>
              </w:rPr>
              <w:t xml:space="preserve">Letters of Intent to Bid </w:t>
            </w:r>
          </w:p>
        </w:tc>
        <w:tc>
          <w:tcPr>
            <w:tcW w:w="2520" w:type="dxa"/>
            <w:gridSpan w:val="2"/>
          </w:tcPr>
          <w:p w14:paraId="384EF67B" w14:textId="77777777" w:rsidR="00815684" w:rsidRDefault="00815684" w:rsidP="00815684">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22</w:t>
            </w:r>
            <w:r w:rsidRPr="005B4E97">
              <w:rPr>
                <w:rFonts w:ascii="Calibri" w:hAnsi="Calibri"/>
                <w:b/>
                <w:noProof/>
              </w:rPr>
              <w:t>/2026</w:t>
            </w:r>
          </w:p>
          <w:p w14:paraId="14BF5744" w14:textId="4852AC5E" w:rsidR="00815684" w:rsidRPr="00815684" w:rsidRDefault="00815684" w:rsidP="00815684">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19187D8F"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04/29/</w:t>
            </w:r>
            <w:r w:rsidRPr="00055BF3">
              <w:rPr>
                <w:rFonts w:ascii="Calibri" w:hAnsi="Calibri"/>
                <w:b/>
              </w:rPr>
              <w:t>2026</w:t>
            </w:r>
          </w:p>
          <w:p w14:paraId="605463A4" w14:textId="5B959C08" w:rsidR="00815684" w:rsidRPr="006F4C07" w:rsidRDefault="00815684" w:rsidP="00815684">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4866E9C3"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E1E066" w14:textId="77777777" w:rsidR="00815684" w:rsidRPr="00055BF3" w:rsidRDefault="00815684" w:rsidP="00815684">
            <w:pPr>
              <w:tabs>
                <w:tab w:val="left" w:leader="underscore" w:pos="8640"/>
              </w:tabs>
              <w:spacing w:after="0" w:line="240" w:lineRule="auto"/>
              <w:jc w:val="center"/>
              <w:rPr>
                <w:rFonts w:ascii="Calibri" w:hAnsi="Calibri"/>
                <w:b/>
              </w:rPr>
            </w:pPr>
            <w:r>
              <w:rPr>
                <w:rFonts w:ascii="Calibri" w:hAnsi="Calibri"/>
                <w:b/>
              </w:rPr>
              <w:t>05/27/</w:t>
            </w:r>
            <w:r w:rsidRPr="00055BF3">
              <w:rPr>
                <w:rFonts w:ascii="Calibri" w:hAnsi="Calibri"/>
                <w:b/>
              </w:rPr>
              <w:t>2026</w:t>
            </w:r>
          </w:p>
          <w:p w14:paraId="6722429D" w14:textId="316A92EE" w:rsidR="00815684" w:rsidRPr="009E13BD" w:rsidRDefault="00815684" w:rsidP="00815684">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15CFE848" w:rsidR="00815684" w:rsidRPr="009E13BD" w:rsidRDefault="00815684" w:rsidP="00815684">
            <w:pPr>
              <w:tabs>
                <w:tab w:val="left" w:leader="underscore" w:pos="8640"/>
              </w:tabs>
              <w:spacing w:after="0"/>
              <w:jc w:val="center"/>
              <w:rPr>
                <w:rFonts w:ascii="Calibri" w:hAnsi="Calibri"/>
                <w:b/>
              </w:rPr>
            </w:pPr>
            <w:r>
              <w:rPr>
                <w:rFonts w:ascii="Calibri" w:hAnsi="Calibri"/>
                <w:b/>
              </w:rPr>
              <w:t>06/24/</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w:t>
      </w:r>
      <w:proofErr w:type="gramStart"/>
      <w:r w:rsidRPr="00D704FE">
        <w:rPr>
          <w:rFonts w:eastAsia="Times New Roman" w:cstheme="minorHAnsi"/>
          <w:color w:val="000000"/>
          <w:spacing w:val="-4"/>
        </w:rPr>
        <w:t>day</w:t>
      </w:r>
      <w:proofErr w:type="gramEnd"/>
      <w:r w:rsidRPr="00D704FE">
        <w:rPr>
          <w:rFonts w:eastAsia="Times New Roman" w:cstheme="minorHAnsi"/>
          <w:color w:val="000000"/>
          <w:spacing w:val="-4"/>
        </w:rPr>
        <w:t xml:space="preserve">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31208A10" w14:textId="77777777" w:rsidR="00D704FE" w:rsidRPr="00D704FE" w:rsidRDefault="00D704FE" w:rsidP="00D704FE">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sidRPr="00D704FE">
        <w:rPr>
          <w:rFonts w:eastAsia="Times New Roman" w:cstheme="minorHAnsi"/>
          <w:b/>
          <w:color w:val="000000"/>
        </w:rPr>
        <w:t>Eighth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means the Iowa Judicial District responsible for Juvenile Court Services in Appanoose, Davis, Des Moines, Henry, Jefferson, Keokuk, Lee (North &amp; South), Louisa, Mahaska. Monroe, Poweshiek, Van Buren, Wapello, and Washington counties.</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P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B0C2D7" w14:textId="77777777" w:rsidR="00D704FE" w:rsidRPr="00D704FE" w:rsidRDefault="00D704FE" w:rsidP="00D704FE">
      <w:pPr>
        <w:spacing w:before="234" w:line="245" w:lineRule="exact"/>
        <w:ind w:right="360"/>
        <w:textAlignment w:val="baseline"/>
        <w:rPr>
          <w:rFonts w:eastAsia="Times New Roman" w:cstheme="minorHAns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lastRenderedPageBreak/>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6C5A927F" w:rsidR="009A554C" w:rsidRPr="009A554C" w:rsidRDefault="009A554C" w:rsidP="009A554C">
      <w:pPr>
        <w:pStyle w:val="Normal2"/>
        <w:ind w:left="540"/>
        <w:rPr>
          <w:rFonts w:cstheme="minorHAnsi"/>
        </w:rPr>
      </w:pPr>
      <w:r>
        <w:rPr>
          <w:rFonts w:cstheme="minorHAnsi"/>
        </w:rPr>
        <w:t xml:space="preserve">Juvenile Court Services (JCS) within the Eighth Judicial District is seeking one or more vendors to provide Transition to Adult and Aftercare services throughout JCS District 8. </w:t>
      </w:r>
      <w:r w:rsidRPr="009A554C">
        <w:rPr>
          <w:rFonts w:cstheme="minorHAnsi"/>
        </w:rPr>
        <w:t>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Eight counties of Appanoose, Davis, Des Moines, Henry, Jefferson, Keokuk, Lee (North &amp; South), Louisa, Mahaska, Monroe, Poweshiek, Van Buren, Wapello, and Washington.</w:t>
      </w:r>
    </w:p>
    <w:p w14:paraId="655F797E" w14:textId="77777777" w:rsidR="009A554C" w:rsidRPr="009A554C" w:rsidRDefault="009A554C" w:rsidP="009A554C">
      <w:pPr>
        <w:pStyle w:val="Normal2"/>
        <w:ind w:left="540"/>
        <w:rPr>
          <w:rFonts w:cstheme="minorHAnsi"/>
        </w:rPr>
      </w:pPr>
      <w:r w:rsidRPr="009A554C">
        <w:rPr>
          <w:rFonts w:cstheme="minorHAnsi"/>
        </w:rPr>
        <w:t xml:space="preserve">OTWH services have been provided in JCS District 8 since April 2024 through other funding sources. Slightly different than the previous years, the primary goal of the transition program is to aid two groups of Youth: those transitioning from out-of-home placement back into the community and those transitioning to adulthood. </w:t>
      </w:r>
    </w:p>
    <w:p w14:paraId="1AC4BFC0" w14:textId="77777777"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expected to work closely with Boys Town on a regular basis. Approximately 10 youth will be referred to this program in its first fiscal year. </w:t>
      </w:r>
    </w:p>
    <w:p w14:paraId="08FCEE96" w14:textId="77777777" w:rsidR="009A554C" w:rsidRDefault="009A554C" w:rsidP="009A554C">
      <w:pPr>
        <w:ind w:left="540"/>
        <w:jc w:val="left"/>
        <w:rPr>
          <w:rFonts w:cstheme="minorHAnsi"/>
        </w:rPr>
      </w:pPr>
      <w:r w:rsidRPr="009A554C">
        <w:rPr>
          <w:rFonts w:cstheme="minorHAnsi"/>
        </w:rPr>
        <w:lastRenderedPageBreak/>
        <w:t xml:space="preserve">Youth transitioning to adulthood will be guided by the Transition Specialist as determined by the JCO. Services will include but not be limited </w:t>
      </w:r>
      <w:proofErr w:type="gramStart"/>
      <w:r w:rsidRPr="009A554C">
        <w:rPr>
          <w:rFonts w:cstheme="minorHAnsi"/>
        </w:rPr>
        <w:t>to:</w:t>
      </w:r>
      <w:proofErr w:type="gramEnd"/>
      <w:r w:rsidRPr="009A554C">
        <w:rPr>
          <w:rFonts w:cstheme="minorHAnsi"/>
        </w:rPr>
        <w:t xml:space="preserve">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lastRenderedPageBreak/>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0E4C9E09" w:rsidR="00143C25" w:rsidRPr="00AF5381" w:rsidRDefault="00561BED" w:rsidP="00E65C85">
      <w:pPr>
        <w:pStyle w:val="NoSpacing"/>
        <w:tabs>
          <w:tab w:val="left" w:pos="1440"/>
          <w:tab w:val="left" w:pos="1620"/>
        </w:tabs>
        <w:ind w:left="1620"/>
      </w:pPr>
      <w:r>
        <w:rPr>
          <w:rFonts w:ascii="Calibri" w:hAnsi="Calibri"/>
          <w:b/>
          <w:noProof/>
        </w:rPr>
        <w:t>Natalie Miller</w:t>
      </w:r>
      <w:r w:rsidR="00AF5381" w:rsidRPr="00AF5381">
        <w:rPr>
          <w:rFonts w:ascii="Calibri" w:hAnsi="Calibri"/>
          <w:b/>
          <w:noProof/>
        </w:rPr>
        <w:t>, Issuing Officer</w:t>
      </w:r>
    </w:p>
    <w:p w14:paraId="7A5E623A" w14:textId="6C04A66E"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8" w:history="1">
        <w:r w:rsidR="00561BED" w:rsidRPr="0075226B">
          <w:rPr>
            <w:rStyle w:val="Hyperlink"/>
            <w:rFonts w:cstheme="minorBidi"/>
          </w:rPr>
          <w:t>natalie.miller@iowacourts.gov</w:t>
        </w:r>
      </w:hyperlink>
      <w:r w:rsidR="00561BED">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0F79A5C4"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JUV-27-TS-08-002</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3"/>
              </w:rPr>
              <w:t>Respondent shall obtain and/or maintain a license agreement with Boys Town to implement OTWH in the Eighth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rPr>
              <w:lastRenderedPageBreak/>
              <w:t>R</w:t>
            </w:r>
            <w:r w:rsidRPr="00561BED">
              <w:rPr>
                <w:rFonts w:eastAsia="Times New Roman" w:cstheme="minorHAnsi"/>
                <w:b w:val="0"/>
                <w:bCs w:val="0"/>
                <w:color w:val="000000"/>
              </w:rPr>
              <w:t xml:space="preserve">espondent shall provide client-facing contact services. The Respondent’s Personnel, further referred to as Transition Specialists, must be </w:t>
            </w:r>
            <w:proofErr w:type="gramStart"/>
            <w:r w:rsidRPr="00561BED">
              <w:rPr>
                <w:rStyle w:val="cf01"/>
                <w:rFonts w:asciiTheme="minorHAnsi" w:hAnsiTheme="minorHAnsi" w:cstheme="minorHAnsi"/>
                <w:b w:val="0"/>
                <w:bCs w:val="0"/>
                <w:sz w:val="22"/>
                <w:szCs w:val="22"/>
              </w:rPr>
              <w:t>cross-trained</w:t>
            </w:r>
            <w:proofErr w:type="gramEnd"/>
            <w:r w:rsidRPr="00561BED">
              <w:rPr>
                <w:rStyle w:val="cf01"/>
                <w:rFonts w:asciiTheme="minorHAnsi" w:hAnsiTheme="minorHAnsi" w:cstheme="minorHAnsi"/>
                <w:b w:val="0"/>
                <w:bCs w:val="0"/>
                <w:sz w:val="22"/>
                <w:szCs w:val="22"/>
              </w:rPr>
              <w:t xml:space="preserve"> prior to administering services to JCS Youth in both OTWH and Transition to Adulthood services.</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D8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77777777" w:rsidR="00561BED" w:rsidRPr="00561BED" w:rsidRDefault="00561BED" w:rsidP="00561BED">
            <w:pPr>
              <w:pStyle w:val="ListParagraph"/>
              <w:numPr>
                <w:ilvl w:val="0"/>
                <w:numId w:val="43"/>
              </w:numPr>
              <w:jc w:val="left"/>
              <w:rPr>
                <w:b w:val="0"/>
                <w:bCs w:val="0"/>
              </w:rPr>
            </w:pPr>
            <w:r w:rsidRPr="00561BED">
              <w:rPr>
                <w:rFonts w:eastAsia="Times New Roman"/>
                <w:b w:val="0"/>
                <w:bCs w:val="0"/>
                <w:color w:val="000000"/>
              </w:rPr>
              <w:t xml:space="preserve">Respondent shall maintain two </w:t>
            </w:r>
            <w:proofErr w:type="gramStart"/>
            <w:r w:rsidRPr="00561BED">
              <w:rPr>
                <w:rFonts w:eastAsia="Times New Roman"/>
                <w:b w:val="0"/>
                <w:bCs w:val="0"/>
                <w:color w:val="000000"/>
              </w:rPr>
              <w:t>full time</w:t>
            </w:r>
            <w:proofErr w:type="gramEnd"/>
            <w:r w:rsidRPr="00561BED">
              <w:rPr>
                <w:rFonts w:eastAsia="Times New Roman"/>
                <w:b w:val="0"/>
                <w:bCs w:val="0"/>
                <w:color w:val="000000"/>
              </w:rPr>
              <w:t xml:space="preserve"> Transition Specialists </w:t>
            </w:r>
            <w:r w:rsidRPr="00561BED">
              <w:rPr>
                <w:rFonts w:eastAsia="Times New Roman" w:cstheme="minorHAnsi"/>
                <w:b w:val="0"/>
                <w:bCs w:val="0"/>
              </w:rPr>
              <w:t>whose time is dedicated to this project</w:t>
            </w:r>
            <w:r w:rsidRPr="00561BED">
              <w:rPr>
                <w:rFonts w:eastAsia="Times New Roman"/>
                <w:b w:val="0"/>
                <w:bCs w:val="0"/>
              </w:rPr>
              <w:t xml:space="preserve"> and one </w:t>
            </w:r>
            <w:r w:rsidRPr="00561BED">
              <w:rPr>
                <w:rFonts w:eastAsia="Times New Roman"/>
                <w:b w:val="0"/>
                <w:bCs w:val="0"/>
                <w:color w:val="000000"/>
              </w:rPr>
              <w:t xml:space="preserve">part-time supervisor who has the capability to provide </w:t>
            </w:r>
            <w:proofErr w:type="gramStart"/>
            <w:r w:rsidRPr="00561BED">
              <w:rPr>
                <w:rFonts w:eastAsia="Times New Roman"/>
                <w:b w:val="0"/>
                <w:bCs w:val="0"/>
                <w:color w:val="000000"/>
              </w:rPr>
              <w:t>client facing</w:t>
            </w:r>
            <w:proofErr w:type="gramEnd"/>
            <w:r w:rsidRPr="00561BED">
              <w:rPr>
                <w:rFonts w:eastAsia="Times New Roman"/>
                <w:b w:val="0"/>
                <w:bCs w:val="0"/>
                <w:color w:val="000000"/>
              </w:rPr>
              <w:t xml:space="preserve">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 xml:space="preserve">flexibility to be </w:t>
            </w:r>
            <w:proofErr w:type="gramStart"/>
            <w:r w:rsidRPr="00561BED">
              <w:rPr>
                <w:rFonts w:eastAsia="Times New Roman"/>
                <w:b w:val="0"/>
                <w:bCs w:val="0"/>
                <w:color w:val="000000"/>
              </w:rPr>
              <w:t>on-call</w:t>
            </w:r>
            <w:proofErr w:type="gramEnd"/>
            <w:r w:rsidRPr="00561BED">
              <w:rPr>
                <w:rFonts w:eastAsia="Times New Roman"/>
                <w:b w:val="0"/>
                <w:bCs w:val="0"/>
                <w:color w:val="000000"/>
              </w:rPr>
              <w:t xml:space="preserve"> (continuously or rotationally) to provide support to OTWH consultants as required.</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 xml:space="preserve">communicated to the referring JCO upon receipt of the referral. Each Transition Specialists shall manage a caseload of not more than 10 Youth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rsidP="00561BED">
            <w:pPr>
              <w:pStyle w:val="ListParagraph"/>
              <w:numPr>
                <w:ilvl w:val="0"/>
                <w:numId w:val="43"/>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OTWH model indicates two hours of service each week. Visits can be made within the home, school, or community. Home visits should be made at a time when parents are home and are available. The purpose of the home visit is for Transition Specialist 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color w:val="000000"/>
              </w:rPr>
              <w:lastRenderedPageBreak/>
              <w:t>Respondent shall partner with Boys Town to comply with the requirements outlined by Boys Town to successfully administer the OTWH curriculum.</w:t>
            </w:r>
          </w:p>
          <w:p w14:paraId="02CF8830"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rsidP="00561BED">
            <w:pPr>
              <w:pStyle w:val="ListParagraph"/>
              <w:numPr>
                <w:ilvl w:val="0"/>
                <w:numId w:val="45"/>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 xml:space="preserve">aintain familiarity with federal, state, and community resources to assist Youth and families with referral processes and </w:t>
            </w:r>
            <w:r w:rsidRPr="00561BED">
              <w:rPr>
                <w:rFonts w:eastAsia="Times New Roman" w:cstheme="minorHAnsi"/>
                <w:b w:val="0"/>
                <w:bCs w:val="0"/>
                <w:color w:val="000000"/>
              </w:rPr>
              <w:lastRenderedPageBreak/>
              <w:t>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 xml:space="preserve">Iowa Workforce Development’s Adult Education and Literacy Programs and Iowa’s </w:t>
            </w:r>
            <w:proofErr w:type="spellStart"/>
            <w:r w:rsidRPr="00561BED">
              <w:rPr>
                <w:rFonts w:eastAsia="Times New Roman" w:cstheme="minorHAnsi"/>
                <w:b w:val="0"/>
                <w:bCs w:val="0"/>
                <w:color w:val="000000"/>
              </w:rPr>
              <w:t>HiSET</w:t>
            </w:r>
            <w:proofErr w:type="spellEnd"/>
            <w:r w:rsidRPr="00561BED">
              <w:rPr>
                <w:rFonts w:eastAsia="Times New Roman" w:cstheme="minorHAnsi"/>
                <w:b w:val="0"/>
                <w:bCs w:val="0"/>
                <w:color w:val="000000"/>
              </w:rPr>
              <w:t xml:space="preserve"> (High School Equivalency Testing).</w:t>
            </w:r>
          </w:p>
          <w:p w14:paraId="6992529F"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in writing after two failed attempts to contact the Youth or their parent/guardian within 24 hours of the second failed attempt. A failed attempt includes no-shows or rescheduling of a meeting at the fault of the Youth and/or their family.</w:t>
            </w:r>
          </w:p>
          <w:p w14:paraId="5DEB82D1"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lastRenderedPageBreak/>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Eighth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222852C3" w14:textId="77777777" w:rsidR="00561BED" w:rsidRPr="002225EC" w:rsidRDefault="00561BED" w:rsidP="00561BED">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4"/>
              </w:rPr>
              <w:lastRenderedPageBreak/>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rsidP="00561BED">
            <w:pPr>
              <w:pStyle w:val="ListParagraph"/>
              <w:numPr>
                <w:ilvl w:val="0"/>
                <w:numId w:val="43"/>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rsidP="00561BED">
            <w:pPr>
              <w:pStyle w:val="ListParagraph"/>
              <w:numPr>
                <w:ilvl w:val="0"/>
                <w:numId w:val="49"/>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rsidP="00561BED">
            <w:pPr>
              <w:pStyle w:val="ListParagraph"/>
              <w:numPr>
                <w:ilvl w:val="0"/>
                <w:numId w:val="43"/>
              </w:numPr>
              <w:rPr>
                <w:b w:val="0"/>
                <w:bCs w:val="0"/>
              </w:rPr>
            </w:pPr>
            <w:r w:rsidRPr="00561BED">
              <w:rPr>
                <w:b w:val="0"/>
                <w:bCs w:val="0"/>
              </w:rPr>
              <w:t>Respondent Staff Background and Criminal History Check requirements:</w:t>
            </w:r>
          </w:p>
          <w:p w14:paraId="32B6711B"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possess the following minimum qualifications and skills: a bachelor’s degree in human services or related field, 2-3 years’ experience working with children and families </w:t>
            </w:r>
            <w:r w:rsidRPr="00561BED">
              <w:rPr>
                <w:rFonts w:eastAsia="Times New Roman"/>
                <w:b w:val="0"/>
                <w:bCs w:val="0"/>
                <w:color w:val="000000"/>
              </w:rPr>
              <w:t xml:space="preserve">in community-based programs, a valid state of Iowa driver’s license and ability to provide their own transportation to job-related assignments, and the flexibility to be on-call (continuously or rotationally). Staff shall complete cultural competency training, </w:t>
            </w:r>
            <w:r w:rsidRPr="00561BED">
              <w:rPr>
                <w:rFonts w:eastAsia="Times New Roman"/>
                <w:b w:val="0"/>
                <w:bCs w:val="0"/>
                <w:color w:val="000000"/>
              </w:rPr>
              <w:lastRenderedPageBreak/>
              <w:t>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rsidP="00561BED">
            <w:pPr>
              <w:pStyle w:val="ListParagraph"/>
              <w:numPr>
                <w:ilvl w:val="0"/>
                <w:numId w:val="43"/>
              </w:numPr>
              <w:rPr>
                <w:b w:val="0"/>
                <w:bCs w:val="0"/>
              </w:rPr>
            </w:pPr>
            <w:r w:rsidRPr="00561BED">
              <w:rPr>
                <w:b w:val="0"/>
                <w:bCs w:val="0"/>
              </w:rPr>
              <w:t>Performance Measures specific to OTWH</w:t>
            </w:r>
          </w:p>
          <w:p w14:paraId="179B0661" w14:textId="77777777" w:rsidR="00561BED" w:rsidRPr="00561BED" w:rsidRDefault="00561BED" w:rsidP="00561BED">
            <w:pPr>
              <w:pStyle w:val="ListParagraph"/>
              <w:numPr>
                <w:ilvl w:val="0"/>
                <w:numId w:val="52"/>
              </w:numPr>
              <w:rPr>
                <w:b w:val="0"/>
                <w:bCs w:val="0"/>
              </w:rPr>
            </w:pPr>
            <w:r w:rsidRPr="00561BED">
              <w:rPr>
                <w:b w:val="0"/>
                <w:bCs w:val="0"/>
              </w:rPr>
              <w:t>Family Support:</w:t>
            </w:r>
          </w:p>
          <w:p w14:paraId="31507F05" w14:textId="77777777" w:rsidR="00561BED" w:rsidRPr="00561BED" w:rsidRDefault="00561BED" w:rsidP="00561BED">
            <w:pPr>
              <w:pStyle w:val="ListParagraph"/>
              <w:numPr>
                <w:ilvl w:val="1"/>
                <w:numId w:val="43"/>
              </w:numPr>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improved child-family relationships.</w:t>
            </w:r>
          </w:p>
          <w:p w14:paraId="7825BD1A" w14:textId="77777777" w:rsidR="00561BED" w:rsidRPr="00561BED" w:rsidRDefault="00561BED" w:rsidP="00561BED">
            <w:pPr>
              <w:pStyle w:val="ListParagraph"/>
              <w:numPr>
                <w:ilvl w:val="0"/>
                <w:numId w:val="52"/>
              </w:numPr>
              <w:rPr>
                <w:b w:val="0"/>
                <w:bCs w:val="0"/>
              </w:rPr>
            </w:pPr>
            <w:r w:rsidRPr="00561BED">
              <w:rPr>
                <w:b w:val="0"/>
                <w:bCs w:val="0"/>
              </w:rPr>
              <w:t>School Support:</w:t>
            </w:r>
          </w:p>
          <w:p w14:paraId="5AD489ED"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an improved family-school relationship.</w:t>
            </w:r>
          </w:p>
          <w:p w14:paraId="1C8F0C1A" w14:textId="77777777" w:rsidR="00561BED" w:rsidRPr="00561BED" w:rsidRDefault="00561BED" w:rsidP="00561BED">
            <w:pPr>
              <w:pStyle w:val="ListParagraph"/>
              <w:numPr>
                <w:ilvl w:val="0"/>
                <w:numId w:val="52"/>
              </w:numPr>
              <w:spacing w:line="278" w:lineRule="auto"/>
              <w:jc w:val="left"/>
              <w:rPr>
                <w:b w:val="0"/>
                <w:bCs w:val="0"/>
              </w:rPr>
            </w:pPr>
            <w:r w:rsidRPr="00561BED">
              <w:rPr>
                <w:b w:val="0"/>
                <w:bCs w:val="0"/>
              </w:rPr>
              <w:t>Recidivism:</w:t>
            </w:r>
          </w:p>
          <w:p w14:paraId="36CFF812"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rsidP="00561BED">
            <w:pPr>
              <w:pStyle w:val="ListParagraph"/>
              <w:numPr>
                <w:ilvl w:val="0"/>
                <w:numId w:val="43"/>
              </w:numPr>
              <w:rPr>
                <w:b w:val="0"/>
                <w:bCs w:val="0"/>
              </w:rPr>
            </w:pPr>
            <w:r w:rsidRPr="00561BED">
              <w:rPr>
                <w:b w:val="0"/>
                <w:bCs w:val="0"/>
              </w:rPr>
              <w:t>Performance Measures specific to Transition to Adulthood</w:t>
            </w:r>
          </w:p>
          <w:p w14:paraId="16C4A082" w14:textId="77777777" w:rsidR="00561BED" w:rsidRPr="00561BED" w:rsidRDefault="00561BED" w:rsidP="00561BED">
            <w:pPr>
              <w:pStyle w:val="NoSpacing"/>
              <w:keepLines/>
              <w:numPr>
                <w:ilvl w:val="0"/>
                <w:numId w:val="53"/>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rsidP="00561BED">
            <w:pPr>
              <w:pStyle w:val="ListParagraph"/>
              <w:numPr>
                <w:ilvl w:val="0"/>
                <w:numId w:val="43"/>
              </w:numPr>
              <w:rPr>
                <w:b w:val="0"/>
                <w:bCs w:val="0"/>
              </w:rPr>
            </w:pPr>
            <w:r w:rsidRPr="00561BED">
              <w:rPr>
                <w:b w:val="0"/>
                <w:bCs w:val="0"/>
              </w:rPr>
              <w:t>Performance Measures for both OTWH and Transition to Adulthood</w:t>
            </w:r>
          </w:p>
          <w:p w14:paraId="518AFB62"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90% of Youth and/or their families will be contacted and informed of program details and tentative start dates within 3 business days of referral.</w:t>
            </w:r>
          </w:p>
          <w:p w14:paraId="5BDAB418"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rPr>
              <w:t>90% of Meeting of Parties will be held within 5 business days of case referral.</w:t>
            </w:r>
          </w:p>
          <w:p w14:paraId="703BE039"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themeColor="text1"/>
              </w:rPr>
              <w:t>100% of Action Plans will be submitted to referring JCO within 1 week of the Meeting of Parties.</w:t>
            </w:r>
          </w:p>
          <w:p w14:paraId="4415CCF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 xml:space="preserve">90% of Monthly Reports will be submitted </w:t>
            </w:r>
            <w:proofErr w:type="gramStart"/>
            <w:r w:rsidRPr="00561BED">
              <w:rPr>
                <w:rFonts w:eastAsia="Times New Roman" w:cstheme="minorHAnsi"/>
                <w:b w:val="0"/>
                <w:bCs w:val="0"/>
                <w:color w:val="000000"/>
              </w:rPr>
              <w:t>to referring</w:t>
            </w:r>
            <w:proofErr w:type="gramEnd"/>
            <w:r w:rsidRPr="00561BED">
              <w:rPr>
                <w:rFonts w:eastAsia="Times New Roman" w:cstheme="minorHAnsi"/>
                <w:b w:val="0"/>
                <w:bCs w:val="0"/>
                <w:color w:val="000000"/>
              </w:rPr>
              <w:t xml:space="preserve">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lastRenderedPageBreak/>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3EC6B561" w14:textId="77777777" w:rsidR="00561BED" w:rsidRDefault="00561BED" w:rsidP="00561BED">
      <w:pPr>
        <w:pStyle w:val="Normal2"/>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rsidRPr="00DC1DC3">
        <w:t>Troy Seeley</w:t>
      </w:r>
      <w:r>
        <w:t xml:space="preserve"> and Natalie Miller</w:t>
      </w:r>
      <w:r w:rsidRPr="00DC1DC3">
        <w:t xml:space="preserve">, </w:t>
      </w:r>
      <w:hyperlink r:id="rId22" w:history="1">
        <w:r w:rsidRPr="002A1A68">
          <w:rPr>
            <w:rStyle w:val="Hyperlink"/>
            <w:rFonts w:cstheme="minorBidi"/>
          </w:rPr>
          <w:t>troy.seeley@iowacourts.gov</w:t>
        </w:r>
      </w:hyperlink>
      <w:r w:rsidRPr="002A1A68">
        <w:t xml:space="preserve"> and </w:t>
      </w:r>
      <w:hyperlink r:id="rId23" w:history="1">
        <w:r w:rsidRPr="002A1A68">
          <w:rPr>
            <w:rStyle w:val="Hyperlink"/>
            <w:rFonts w:cstheme="minorBidi"/>
          </w:rPr>
          <w:t>natalie.miller@iowacourts.gov</w:t>
        </w:r>
      </w:hyperlink>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xml:space="preserve">. Vendor proposals must include a sample report and a description of the </w:t>
      </w:r>
      <w:proofErr w:type="gramStart"/>
      <w:r w:rsidRPr="002A1A68">
        <w:t>reporting</w:t>
      </w:r>
      <w:proofErr w:type="gramEnd"/>
      <w:r w:rsidRPr="002A1A68">
        <w:t xml:space="preserve">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69C3B78A" w:rsidR="00877BAF" w:rsidRPr="00032D48" w:rsidRDefault="00561BED" w:rsidP="00877BAF">
      <w:pPr>
        <w:pStyle w:val="Footer"/>
        <w:tabs>
          <w:tab w:val="clear" w:pos="4320"/>
          <w:tab w:val="clear" w:pos="8640"/>
        </w:tabs>
        <w:spacing w:after="0" w:line="240" w:lineRule="auto"/>
        <w:rPr>
          <w:rFonts w:ascii="Calibri" w:hAnsi="Calibri"/>
          <w:sz w:val="18"/>
          <w:szCs w:val="18"/>
        </w:rPr>
      </w:pPr>
      <w:r w:rsidRPr="00561BED">
        <w:rPr>
          <w:rFonts w:ascii="Calibri" w:hAnsi="Calibri"/>
          <w:bCs/>
          <w:noProof/>
          <w:sz w:val="18"/>
          <w:szCs w:val="18"/>
        </w:rPr>
        <w:t>Natalie Miller</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4403F311" w:rsidR="00561BED" w:rsidRPr="00032D48" w:rsidRDefault="00561BED" w:rsidP="00561BED">
      <w:pPr>
        <w:spacing w:after="0" w:line="240" w:lineRule="auto"/>
        <w:rPr>
          <w:rFonts w:ascii="Calibri" w:hAnsi="Calibri"/>
          <w:noProof/>
          <w:sz w:val="18"/>
          <w:szCs w:val="18"/>
        </w:rPr>
      </w:pPr>
      <w:hyperlink r:id="rId24"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7AF4DC8D"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561BED">
        <w:rPr>
          <w:rFonts w:ascii="Calibri" w:hAnsi="Calibri"/>
          <w:noProof/>
          <w:sz w:val="18"/>
          <w:szCs w:val="18"/>
        </w:rPr>
        <w:t>08-002</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2CCDDF0"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 xml:space="preserve">JUV-27-TS-08-002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DFC6141" w:rsidR="00877BAF" w:rsidRPr="00032D48" w:rsidRDefault="001519EE" w:rsidP="00877BAF">
      <w:pPr>
        <w:pStyle w:val="Footer"/>
        <w:tabs>
          <w:tab w:val="clear" w:pos="4320"/>
          <w:tab w:val="clear" w:pos="8640"/>
        </w:tabs>
        <w:spacing w:after="0" w:line="240" w:lineRule="auto"/>
        <w:rPr>
          <w:rFonts w:ascii="Calibri" w:hAnsi="Calibri"/>
          <w:sz w:val="18"/>
          <w:szCs w:val="18"/>
        </w:rPr>
      </w:pPr>
      <w:r w:rsidRPr="001519EE">
        <w:rPr>
          <w:rFonts w:ascii="Calibri" w:hAnsi="Calibri"/>
          <w:bCs/>
          <w:noProof/>
          <w:sz w:val="18"/>
          <w:szCs w:val="18"/>
        </w:rPr>
        <w:t>Natalie Miller</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539A2F5B" w:rsidR="001519EE" w:rsidRPr="00032D48" w:rsidRDefault="001519EE" w:rsidP="001519EE">
      <w:pPr>
        <w:spacing w:after="0" w:line="240" w:lineRule="auto"/>
        <w:rPr>
          <w:rFonts w:ascii="Calibri" w:hAnsi="Calibri"/>
          <w:noProof/>
          <w:sz w:val="18"/>
          <w:szCs w:val="18"/>
        </w:rPr>
      </w:pPr>
      <w:hyperlink r:id="rId25"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25518BFE"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1519EE">
        <w:rPr>
          <w:rFonts w:ascii="Calibri" w:hAnsi="Calibri"/>
          <w:noProof/>
          <w:sz w:val="18"/>
          <w:szCs w:val="18"/>
        </w:rPr>
        <w:t>08-002</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C64EACB"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1519EE">
        <w:rPr>
          <w:rFonts w:ascii="Calibri" w:hAnsi="Calibri"/>
          <w:noProof/>
          <w:sz w:val="18"/>
          <w:szCs w:val="18"/>
        </w:rPr>
        <w:t>08-002.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3F2C4D6E" w14:textId="5966150C" w:rsidR="001519EE" w:rsidRDefault="00B85D64" w:rsidP="001519EE">
      <w:pPr>
        <w:pStyle w:val="Header"/>
        <w:spacing w:after="0"/>
      </w:pPr>
      <w:r>
        <w:t>Respondent</w:t>
      </w:r>
      <w:r w:rsidRPr="009E13BD">
        <w:t>’s Cost Proposal shall include an all-inclusive</w:t>
      </w:r>
      <w:r w:rsidR="001519EE" w:rsidRPr="001519EE">
        <w:t xml:space="preserve"> </w:t>
      </w:r>
      <w:r w:rsidR="001519EE">
        <w:t>unit rate.</w:t>
      </w:r>
    </w:p>
    <w:p w14:paraId="0DFF4395" w14:textId="77777777" w:rsidR="001519EE" w:rsidRDefault="001519EE" w:rsidP="001519EE">
      <w:pPr>
        <w:pStyle w:val="Header"/>
        <w:spacing w:after="0"/>
      </w:pPr>
    </w:p>
    <w:p w14:paraId="55D9FFFF" w14:textId="21A33A46" w:rsidR="001519EE" w:rsidRPr="00A24512" w:rsidRDefault="001519EE" w:rsidP="001519EE">
      <w:pPr>
        <w:pStyle w:val="Header"/>
        <w:spacing w:after="0"/>
      </w:pPr>
      <w:r w:rsidRPr="00A24512">
        <w:t>The unit rate shall be</w:t>
      </w:r>
      <w:r>
        <w:t xml:space="preserve"> a monthly</w:t>
      </w:r>
      <w:r w:rsidRPr="00A24512">
        <w:t xml:space="preserve"> inclusive</w:t>
      </w:r>
      <w:r>
        <w:t xml:space="preserve"> rate</w:t>
      </w:r>
      <w:r w:rsidRPr="00A24512">
        <w:t xml:space="preserve"> for all of the services provided under the </w:t>
      </w:r>
      <w:r>
        <w:t>Transition Services and Aftercare</w:t>
      </w:r>
      <w:r w:rsidRPr="00A24512">
        <w:t xml:space="preserve"> program</w:t>
      </w:r>
      <w:r>
        <w:t>s</w:t>
      </w:r>
      <w:r w:rsidRPr="00A24512">
        <w:t>. When determining rate(s) for this Cost Proposal, all other costs, including direct client contact time, travel, training, professional meetings and development, administrative, case work, documentation hours, indirect time</w:t>
      </w:r>
      <w:r>
        <w:t xml:space="preserve">, </w:t>
      </w:r>
      <w:r w:rsidRPr="00A24512">
        <w:t xml:space="preserve">and any other cost must be considered since these would not be eligible as separate billable hours. The following template is required. Please use additional pages to provide any additional narrative support for the </w:t>
      </w:r>
      <w:proofErr w:type="gramStart"/>
      <w:r w:rsidRPr="00A24512">
        <w:t>costing</w:t>
      </w:r>
      <w:proofErr w:type="gramEnd"/>
      <w:r w:rsidRPr="00A24512">
        <w:t xml:space="preserve"> information.</w:t>
      </w:r>
    </w:p>
    <w:p w14:paraId="273ECFE0" w14:textId="77777777" w:rsidR="001519EE" w:rsidRPr="00A24512" w:rsidRDefault="001519EE" w:rsidP="001519EE">
      <w:pPr>
        <w:pStyle w:val="Header"/>
      </w:pPr>
    </w:p>
    <w:p w14:paraId="2FB98FFB" w14:textId="77777777" w:rsidR="001519EE" w:rsidRDefault="001519EE" w:rsidP="001519EE">
      <w:pPr>
        <w:pStyle w:val="Header"/>
      </w:pPr>
      <w:r w:rsidRPr="00A24512">
        <w:t>Provide a detailed breakdown in your Cost Proposal for all costs included below.</w:t>
      </w:r>
    </w:p>
    <w:p w14:paraId="7CD54E39" w14:textId="77777777" w:rsidR="001519EE" w:rsidRDefault="001519EE" w:rsidP="001519EE">
      <w:pPr>
        <w:pStyle w:val="Header"/>
      </w:pPr>
    </w:p>
    <w:tbl>
      <w:tblPr>
        <w:tblStyle w:val="PlainTable1"/>
        <w:tblW w:w="9355" w:type="dxa"/>
        <w:tblLook w:val="04A0" w:firstRow="1" w:lastRow="0" w:firstColumn="1" w:lastColumn="0" w:noHBand="0" w:noVBand="1"/>
      </w:tblPr>
      <w:tblGrid>
        <w:gridCol w:w="7307"/>
        <w:gridCol w:w="2048"/>
      </w:tblGrid>
      <w:tr w:rsidR="001519EE" w:rsidRPr="00A24512" w14:paraId="6489A25C" w14:textId="77777777" w:rsidTr="00183D64">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307" w:type="dxa"/>
          </w:tcPr>
          <w:p w14:paraId="1E26C9D5" w14:textId="77777777" w:rsidR="001519EE" w:rsidRPr="00A24512" w:rsidRDefault="001519EE" w:rsidP="00183D64">
            <w:pPr>
              <w:rPr>
                <w:b w:val="0"/>
                <w:bCs w:val="0"/>
              </w:rPr>
            </w:pPr>
            <w:proofErr w:type="gramStart"/>
            <w:r w:rsidRPr="00A24512">
              <w:t>Line Item</w:t>
            </w:r>
            <w:proofErr w:type="gramEnd"/>
            <w:r w:rsidRPr="00A24512">
              <w:t xml:space="preserve"> Narrative</w:t>
            </w:r>
          </w:p>
        </w:tc>
        <w:tc>
          <w:tcPr>
            <w:tcW w:w="2048" w:type="dxa"/>
          </w:tcPr>
          <w:p w14:paraId="5119C439" w14:textId="77777777" w:rsidR="001519EE" w:rsidRPr="00A24512" w:rsidRDefault="001519EE" w:rsidP="00183D64">
            <w:pPr>
              <w:cnfStyle w:val="100000000000" w:firstRow="1" w:lastRow="0" w:firstColumn="0" w:lastColumn="0" w:oddVBand="0" w:evenVBand="0" w:oddHBand="0" w:evenHBand="0" w:firstRowFirstColumn="0" w:firstRowLastColumn="0" w:lastRowFirstColumn="0" w:lastRowLastColumn="0"/>
            </w:pPr>
          </w:p>
        </w:tc>
      </w:tr>
      <w:tr w:rsidR="001519EE" w:rsidRPr="00A24512" w14:paraId="477BA0E6"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307" w:type="dxa"/>
          </w:tcPr>
          <w:p w14:paraId="0F269398" w14:textId="77777777" w:rsidR="001519EE" w:rsidRPr="00A24512" w:rsidRDefault="001519EE" w:rsidP="00183D64">
            <w:pPr>
              <w:rPr>
                <w:b w:val="0"/>
                <w:bCs w:val="0"/>
              </w:rPr>
            </w:pPr>
            <w:r w:rsidRPr="00A24512">
              <w:t>Salaries</w:t>
            </w:r>
          </w:p>
        </w:tc>
        <w:tc>
          <w:tcPr>
            <w:tcW w:w="2048" w:type="dxa"/>
          </w:tcPr>
          <w:p w14:paraId="55F8DE7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158F023B" w14:textId="77777777" w:rsidTr="00183D64">
        <w:trPr>
          <w:trHeight w:val="242"/>
        </w:trPr>
        <w:tc>
          <w:tcPr>
            <w:cnfStyle w:val="001000000000" w:firstRow="0" w:lastRow="0" w:firstColumn="1" w:lastColumn="0" w:oddVBand="0" w:evenVBand="0" w:oddHBand="0" w:evenHBand="0" w:firstRowFirstColumn="0" w:firstRowLastColumn="0" w:lastRowFirstColumn="0" w:lastRowLastColumn="0"/>
            <w:tcW w:w="7307" w:type="dxa"/>
          </w:tcPr>
          <w:p w14:paraId="6CD86255" w14:textId="77777777" w:rsidR="001519EE" w:rsidRPr="00A24512" w:rsidRDefault="001519EE" w:rsidP="00183D64">
            <w:pPr>
              <w:jc w:val="left"/>
            </w:pPr>
            <w:r w:rsidRPr="00A24512">
              <w:t>Number of Employees</w:t>
            </w:r>
          </w:p>
        </w:tc>
        <w:tc>
          <w:tcPr>
            <w:tcW w:w="2048" w:type="dxa"/>
          </w:tcPr>
          <w:p w14:paraId="44413B5C"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77AAE383"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2A5541B0" w14:textId="77777777" w:rsidR="001519EE" w:rsidRPr="00A24512" w:rsidRDefault="001519EE" w:rsidP="00183D64">
            <w:r w:rsidRPr="00A24512">
              <w:t>Benefits</w:t>
            </w:r>
          </w:p>
        </w:tc>
        <w:tc>
          <w:tcPr>
            <w:tcW w:w="2048" w:type="dxa"/>
          </w:tcPr>
          <w:p w14:paraId="23C5D5E1"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031B7FAF"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1E7236E" w14:textId="77777777" w:rsidR="001519EE" w:rsidRPr="00A24512" w:rsidRDefault="001519EE" w:rsidP="00183D64">
            <w:r w:rsidRPr="00A24512">
              <w:t>Travel</w:t>
            </w:r>
          </w:p>
        </w:tc>
        <w:tc>
          <w:tcPr>
            <w:tcW w:w="2048" w:type="dxa"/>
          </w:tcPr>
          <w:p w14:paraId="4B472321"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1E23583B"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50FE161E" w14:textId="77777777" w:rsidR="001519EE" w:rsidRPr="00A24512" w:rsidRDefault="001519EE" w:rsidP="00183D64">
            <w:r w:rsidRPr="00A24512">
              <w:t>Equipment</w:t>
            </w:r>
          </w:p>
        </w:tc>
        <w:tc>
          <w:tcPr>
            <w:tcW w:w="2048" w:type="dxa"/>
          </w:tcPr>
          <w:p w14:paraId="3EA369EC"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7F0FB6B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4CFC8C93" w14:textId="77777777" w:rsidR="001519EE" w:rsidRPr="00A24512" w:rsidRDefault="001519EE" w:rsidP="00183D64">
            <w:r w:rsidRPr="00A24512">
              <w:t>Supplies</w:t>
            </w:r>
          </w:p>
        </w:tc>
        <w:tc>
          <w:tcPr>
            <w:tcW w:w="2048" w:type="dxa"/>
          </w:tcPr>
          <w:p w14:paraId="0FA9C5A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322CD984"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18E13C4F" w14:textId="77777777" w:rsidR="001519EE" w:rsidRPr="00A24512" w:rsidRDefault="001519EE" w:rsidP="00183D64">
            <w:r w:rsidRPr="00A24512">
              <w:t>Training</w:t>
            </w:r>
          </w:p>
        </w:tc>
        <w:tc>
          <w:tcPr>
            <w:tcW w:w="2048" w:type="dxa"/>
          </w:tcPr>
          <w:p w14:paraId="13D3749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6EBF546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DA15ED0" w14:textId="77777777" w:rsidR="001519EE" w:rsidRPr="00A24512" w:rsidRDefault="001519EE" w:rsidP="00183D64">
            <w:r w:rsidRPr="00A24512">
              <w:t>Other</w:t>
            </w:r>
          </w:p>
        </w:tc>
        <w:tc>
          <w:tcPr>
            <w:tcW w:w="2048" w:type="dxa"/>
          </w:tcPr>
          <w:p w14:paraId="32BF44CE"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0ED8C10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3D15A46C" w14:textId="77777777" w:rsidR="001519EE" w:rsidRPr="00A24512" w:rsidRDefault="001519EE" w:rsidP="00183D64">
            <w:r w:rsidRPr="00A24512">
              <w:t>Direct Cost</w:t>
            </w:r>
          </w:p>
        </w:tc>
        <w:tc>
          <w:tcPr>
            <w:tcW w:w="2048" w:type="dxa"/>
          </w:tcPr>
          <w:p w14:paraId="025195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21232A22"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2C71E32B" w14:textId="77777777" w:rsidR="001519EE" w:rsidRPr="00A24512" w:rsidRDefault="001519EE" w:rsidP="00183D64">
            <w:r w:rsidRPr="00A24512">
              <w:t>Indirect Cost</w:t>
            </w:r>
          </w:p>
        </w:tc>
        <w:tc>
          <w:tcPr>
            <w:tcW w:w="2048" w:type="dxa"/>
          </w:tcPr>
          <w:p w14:paraId="2824A6E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431EF33E"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5D1421C2" w14:textId="77777777" w:rsidR="001519EE" w:rsidRPr="00A24512" w:rsidRDefault="001519EE" w:rsidP="00183D64">
            <w:pPr>
              <w:rPr>
                <w:b w:val="0"/>
                <w:bCs w:val="0"/>
              </w:rPr>
            </w:pPr>
            <w:r w:rsidRPr="00A24512">
              <w:t>% of Direct Cost</w:t>
            </w:r>
          </w:p>
        </w:tc>
        <w:tc>
          <w:tcPr>
            <w:tcW w:w="2048" w:type="dxa"/>
          </w:tcPr>
          <w:p w14:paraId="685FED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9E13BD" w14:paraId="376DF762" w14:textId="77777777" w:rsidTr="00183D64">
        <w:trPr>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56676AE" w14:textId="77777777" w:rsidR="001519EE" w:rsidRPr="00794EE1" w:rsidRDefault="001519EE" w:rsidP="00183D64">
            <w:pPr>
              <w:rPr>
                <w:b w:val="0"/>
                <w:bCs w:val="0"/>
              </w:rPr>
            </w:pPr>
            <w:r w:rsidRPr="00A24512">
              <w:t>Annual Project Cost</w:t>
            </w:r>
          </w:p>
        </w:tc>
        <w:tc>
          <w:tcPr>
            <w:tcW w:w="2048" w:type="dxa"/>
          </w:tcPr>
          <w:p w14:paraId="16E3ACEE" w14:textId="77777777" w:rsidR="001519EE" w:rsidRPr="009E13BD"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9E13BD" w14:paraId="2E8D1CFA"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0B84B0A" w14:textId="77777777" w:rsidR="001519EE" w:rsidRPr="00A24512" w:rsidRDefault="001519EE" w:rsidP="00183D64">
            <w:r>
              <w:t>Inclusive Monthly Rate (Unit Rate)</w:t>
            </w:r>
          </w:p>
        </w:tc>
        <w:tc>
          <w:tcPr>
            <w:tcW w:w="2048" w:type="dxa"/>
          </w:tcPr>
          <w:p w14:paraId="09236958" w14:textId="77777777" w:rsidR="001519EE" w:rsidRPr="009E13BD" w:rsidRDefault="001519EE" w:rsidP="00183D64">
            <w:pPr>
              <w:cnfStyle w:val="000000100000" w:firstRow="0" w:lastRow="0" w:firstColumn="0" w:lastColumn="0" w:oddVBand="0" w:evenVBand="0" w:oddHBand="1" w:evenHBand="0" w:firstRowFirstColumn="0" w:firstRowLastColumn="0" w:lastRowFirstColumn="0" w:lastRowLastColumn="0"/>
            </w:pPr>
          </w:p>
        </w:tc>
      </w:tr>
    </w:tbl>
    <w:p w14:paraId="5221005D" w14:textId="769D6BA6" w:rsidR="00B07DD9" w:rsidRPr="009E13BD" w:rsidRDefault="00B07DD9" w:rsidP="001519EE">
      <w:pPr>
        <w:pStyle w:val="Header"/>
      </w:pPr>
    </w:p>
    <w:p w14:paraId="5717C1E8" w14:textId="6A101CFB" w:rsidR="001519EE" w:rsidRDefault="001519EE">
      <w:pPr>
        <w:jc w:val="left"/>
      </w:pPr>
      <w:r>
        <w:br w:type="page"/>
      </w:r>
    </w:p>
    <w:p w14:paraId="0C9800BE" w14:textId="77777777" w:rsidR="001519EE" w:rsidRDefault="001519EE" w:rsidP="001519EE">
      <w:pPr>
        <w:pStyle w:val="Heading1"/>
        <w:numPr>
          <w:ilvl w:val="0"/>
          <w:numId w:val="0"/>
        </w:numPr>
        <w:ind w:left="432" w:hanging="432"/>
      </w:pPr>
      <w:r>
        <w:lastRenderedPageBreak/>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rsidP="001519EE">
      <w:pPr>
        <w:pStyle w:val="Header"/>
        <w:numPr>
          <w:ilvl w:val="0"/>
          <w:numId w:val="26"/>
        </w:numPr>
      </w:pPr>
      <w:r>
        <w:t>Youth first and last name</w:t>
      </w:r>
    </w:p>
    <w:p w14:paraId="6D6F7C6F" w14:textId="77777777" w:rsidR="001519EE" w:rsidRDefault="001519EE" w:rsidP="001519EE">
      <w:pPr>
        <w:pStyle w:val="Header"/>
        <w:numPr>
          <w:ilvl w:val="0"/>
          <w:numId w:val="26"/>
        </w:numPr>
      </w:pPr>
      <w:r>
        <w:t>Youth date of birth</w:t>
      </w:r>
    </w:p>
    <w:p w14:paraId="6905B33F" w14:textId="77777777" w:rsidR="001519EE" w:rsidRDefault="001519EE" w:rsidP="001519EE">
      <w:pPr>
        <w:pStyle w:val="Header"/>
        <w:numPr>
          <w:ilvl w:val="0"/>
          <w:numId w:val="26"/>
        </w:numPr>
      </w:pPr>
      <w:r>
        <w:t xml:space="preserve">Youth JID number </w:t>
      </w:r>
    </w:p>
    <w:p w14:paraId="1ABA5AB8" w14:textId="77777777" w:rsidR="001519EE" w:rsidRDefault="001519EE" w:rsidP="001519EE">
      <w:pPr>
        <w:pStyle w:val="Header"/>
        <w:numPr>
          <w:ilvl w:val="0"/>
          <w:numId w:val="26"/>
        </w:numPr>
      </w:pPr>
      <w:r>
        <w:t>Youth IDA level</w:t>
      </w:r>
    </w:p>
    <w:p w14:paraId="7A370EB8" w14:textId="77777777" w:rsidR="001519EE" w:rsidRDefault="001519EE" w:rsidP="001519EE">
      <w:pPr>
        <w:pStyle w:val="Header"/>
        <w:numPr>
          <w:ilvl w:val="0"/>
          <w:numId w:val="26"/>
        </w:numPr>
      </w:pPr>
      <w:r>
        <w:t>Name of referring JCO</w:t>
      </w:r>
    </w:p>
    <w:p w14:paraId="2D3CACCB" w14:textId="77777777" w:rsidR="001519EE" w:rsidRDefault="001519EE" w:rsidP="001519EE">
      <w:pPr>
        <w:pStyle w:val="Header"/>
        <w:numPr>
          <w:ilvl w:val="0"/>
          <w:numId w:val="26"/>
        </w:numPr>
      </w:pPr>
      <w:r>
        <w:t>Name of Transition Specialist assigned to the client</w:t>
      </w:r>
    </w:p>
    <w:p w14:paraId="0BBDBCA5" w14:textId="77777777" w:rsidR="001519EE" w:rsidRDefault="001519EE" w:rsidP="001519EE">
      <w:pPr>
        <w:pStyle w:val="Header"/>
        <w:numPr>
          <w:ilvl w:val="0"/>
          <w:numId w:val="26"/>
        </w:numPr>
      </w:pPr>
      <w:r>
        <w:t>Initial barriers to success or concerns</w:t>
      </w:r>
    </w:p>
    <w:p w14:paraId="08FAB1B4" w14:textId="77777777" w:rsidR="001519EE" w:rsidRPr="00524EA3" w:rsidRDefault="001519EE" w:rsidP="001519EE">
      <w:pPr>
        <w:pStyle w:val="Header"/>
        <w:numPr>
          <w:ilvl w:val="0"/>
          <w:numId w:val="26"/>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5860" w14:textId="77777777" w:rsidR="00897D37" w:rsidRDefault="00897D37" w:rsidP="0043688E">
      <w:r>
        <w:separator/>
      </w:r>
    </w:p>
  </w:endnote>
  <w:endnote w:type="continuationSeparator" w:id="0">
    <w:p w14:paraId="4C28F178" w14:textId="77777777" w:rsidR="00897D37" w:rsidRDefault="00897D3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AEF8" w14:textId="77777777" w:rsidR="00897D37" w:rsidRDefault="00897D37" w:rsidP="0043688E">
      <w:r>
        <w:separator/>
      </w:r>
    </w:p>
  </w:footnote>
  <w:footnote w:type="continuationSeparator" w:id="0">
    <w:p w14:paraId="27021EAB" w14:textId="77777777" w:rsidR="00897D37" w:rsidRDefault="00897D3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FB802DB" w:rsidR="001E695B" w:rsidRDefault="001E695B" w:rsidP="001E695B">
    <w:pPr>
      <w:pStyle w:val="Header"/>
      <w:jc w:val="right"/>
    </w:pPr>
    <w:r w:rsidRPr="00815684">
      <w:t>RFP#</w:t>
    </w:r>
    <w:r w:rsidR="00815684">
      <w:t xml:space="preserve"> JUV-27-TS-08-002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t/>
          </w:r>
          <w:r>
            <w:rPr>
              <w:rStyle w:val="CommentReference"/>
              <w:rFonts w:asciiTheme="minorHAnsi" w:eastAsiaTheme="minorHAnsi" w:hAnsiTheme="minorHAnsi"/>
              <w:color w:val="auto"/>
            </w:rPr>
            <w:t/>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7"/>
  </w:num>
  <w:num w:numId="4" w16cid:durableId="1636108065">
    <w:abstractNumId w:val="2"/>
  </w:num>
  <w:num w:numId="5" w16cid:durableId="1288779450">
    <w:abstractNumId w:val="35"/>
  </w:num>
  <w:num w:numId="6" w16cid:durableId="196626491">
    <w:abstractNumId w:val="25"/>
  </w:num>
  <w:num w:numId="7" w16cid:durableId="60911853">
    <w:abstractNumId w:val="1"/>
  </w:num>
  <w:num w:numId="8" w16cid:durableId="563761530">
    <w:abstractNumId w:val="13"/>
  </w:num>
  <w:num w:numId="9" w16cid:durableId="1479154219">
    <w:abstractNumId w:val="4"/>
  </w:num>
  <w:num w:numId="10" w16cid:durableId="40597444">
    <w:abstractNumId w:val="20"/>
  </w:num>
  <w:num w:numId="11" w16cid:durableId="1167601033">
    <w:abstractNumId w:val="31"/>
  </w:num>
  <w:num w:numId="12" w16cid:durableId="1955087595">
    <w:abstractNumId w:val="6"/>
  </w:num>
  <w:num w:numId="13" w16cid:durableId="1795051904">
    <w:abstractNumId w:val="6"/>
  </w:num>
  <w:num w:numId="14" w16cid:durableId="183057732">
    <w:abstractNumId w:val="16"/>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9"/>
  </w:num>
  <w:num w:numId="17" w16cid:durableId="496773816">
    <w:abstractNumId w:val="17"/>
  </w:num>
  <w:num w:numId="18" w16cid:durableId="797333386">
    <w:abstractNumId w:val="32"/>
  </w:num>
  <w:num w:numId="19" w16cid:durableId="927620313">
    <w:abstractNumId w:val="32"/>
    <w:lvlOverride w:ilvl="0">
      <w:startOverride w:val="1"/>
    </w:lvlOverride>
  </w:num>
  <w:num w:numId="20" w16cid:durableId="1647971981">
    <w:abstractNumId w:val="32"/>
    <w:lvlOverride w:ilvl="0">
      <w:startOverride w:val="1"/>
    </w:lvlOverride>
  </w:num>
  <w:num w:numId="21" w16cid:durableId="1225680320">
    <w:abstractNumId w:val="32"/>
    <w:lvlOverride w:ilvl="0">
      <w:startOverride w:val="1"/>
    </w:lvlOverride>
  </w:num>
  <w:num w:numId="22" w16cid:durableId="57825551">
    <w:abstractNumId w:val="32"/>
    <w:lvlOverride w:ilvl="0">
      <w:startOverride w:val="1"/>
    </w:lvlOverride>
  </w:num>
  <w:num w:numId="23" w16cid:durableId="1023749044">
    <w:abstractNumId w:val="32"/>
    <w:lvlOverride w:ilvl="0">
      <w:startOverride w:val="1"/>
    </w:lvlOverride>
  </w:num>
  <w:num w:numId="24" w16cid:durableId="1905918999">
    <w:abstractNumId w:val="32"/>
    <w:lvlOverride w:ilvl="0">
      <w:startOverride w:val="1"/>
    </w:lvlOverride>
  </w:num>
  <w:num w:numId="25" w16cid:durableId="1695766752">
    <w:abstractNumId w:val="32"/>
    <w:lvlOverride w:ilvl="0">
      <w:startOverride w:val="1"/>
    </w:lvlOverride>
  </w:num>
  <w:num w:numId="26" w16cid:durableId="793064699">
    <w:abstractNumId w:val="28"/>
  </w:num>
  <w:num w:numId="27" w16cid:durableId="1428112978">
    <w:abstractNumId w:val="32"/>
    <w:lvlOverride w:ilvl="0">
      <w:startOverride w:val="1"/>
    </w:lvlOverride>
  </w:num>
  <w:num w:numId="28" w16cid:durableId="1975603622">
    <w:abstractNumId w:val="32"/>
    <w:lvlOverride w:ilvl="0">
      <w:startOverride w:val="1"/>
    </w:lvlOverride>
  </w:num>
  <w:num w:numId="29" w16cid:durableId="1246652271">
    <w:abstractNumId w:val="32"/>
    <w:lvlOverride w:ilvl="0">
      <w:startOverride w:val="1"/>
    </w:lvlOverride>
  </w:num>
  <w:num w:numId="30" w16cid:durableId="1803183588">
    <w:abstractNumId w:val="37"/>
  </w:num>
  <w:num w:numId="31" w16cid:durableId="1785885757">
    <w:abstractNumId w:val="36"/>
  </w:num>
  <w:num w:numId="32" w16cid:durableId="287510235">
    <w:abstractNumId w:val="3"/>
  </w:num>
  <w:num w:numId="33" w16cid:durableId="1261983633">
    <w:abstractNumId w:val="9"/>
  </w:num>
  <w:num w:numId="34" w16cid:durableId="1597790766">
    <w:abstractNumId w:val="22"/>
  </w:num>
  <w:num w:numId="35" w16cid:durableId="1907955512">
    <w:abstractNumId w:val="38"/>
  </w:num>
  <w:num w:numId="36" w16cid:durableId="693312167">
    <w:abstractNumId w:val="21"/>
  </w:num>
  <w:num w:numId="37" w16cid:durableId="356544671">
    <w:abstractNumId w:val="6"/>
    <w:lvlOverride w:ilvl="0">
      <w:startOverride w:val="2"/>
    </w:lvlOverride>
    <w:lvlOverride w:ilvl="1">
      <w:startOverride w:val="24"/>
    </w:lvlOverride>
  </w:num>
  <w:num w:numId="38" w16cid:durableId="406609876">
    <w:abstractNumId w:val="10"/>
  </w:num>
  <w:num w:numId="39" w16cid:durableId="617373953">
    <w:abstractNumId w:val="26"/>
  </w:num>
  <w:num w:numId="40" w16cid:durableId="114060099">
    <w:abstractNumId w:val="8"/>
  </w:num>
  <w:num w:numId="41" w16cid:durableId="1015619156">
    <w:abstractNumId w:val="34"/>
  </w:num>
  <w:num w:numId="42" w16cid:durableId="1199706232">
    <w:abstractNumId w:val="32"/>
    <w:lvlOverride w:ilvl="0">
      <w:startOverride w:val="1"/>
    </w:lvlOverride>
  </w:num>
  <w:num w:numId="43" w16cid:durableId="300579452">
    <w:abstractNumId w:val="18"/>
  </w:num>
  <w:num w:numId="44" w16cid:durableId="1871145156">
    <w:abstractNumId w:val="7"/>
  </w:num>
  <w:num w:numId="45" w16cid:durableId="1130855524">
    <w:abstractNumId w:val="24"/>
  </w:num>
  <w:num w:numId="46" w16cid:durableId="1749880232">
    <w:abstractNumId w:val="33"/>
  </w:num>
  <w:num w:numId="47" w16cid:durableId="1040085752">
    <w:abstractNumId w:val="23"/>
  </w:num>
  <w:num w:numId="48" w16cid:durableId="278529290">
    <w:abstractNumId w:val="11"/>
  </w:num>
  <w:num w:numId="49" w16cid:durableId="802234027">
    <w:abstractNumId w:val="30"/>
  </w:num>
  <w:num w:numId="50" w16cid:durableId="355280625">
    <w:abstractNumId w:val="29"/>
  </w:num>
  <w:num w:numId="51" w16cid:durableId="558635473">
    <w:abstractNumId w:val="15"/>
  </w:num>
  <w:num w:numId="52" w16cid:durableId="1859077732">
    <w:abstractNumId w:val="39"/>
  </w:num>
  <w:num w:numId="53" w16cid:durableId="1804349762">
    <w:abstractNumId w:val="5"/>
  </w:num>
  <w:num w:numId="54" w16cid:durableId="11560719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2594"/>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0C2C"/>
    <w:rsid w:val="00231AF3"/>
    <w:rsid w:val="00237BB2"/>
    <w:rsid w:val="00240B92"/>
    <w:rsid w:val="00251FAE"/>
    <w:rsid w:val="002524B2"/>
    <w:rsid w:val="00253069"/>
    <w:rsid w:val="002561C4"/>
    <w:rsid w:val="00257043"/>
    <w:rsid w:val="0025750B"/>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1AE"/>
    <w:rsid w:val="005E1E4C"/>
    <w:rsid w:val="005E4E45"/>
    <w:rsid w:val="005E518A"/>
    <w:rsid w:val="005E685E"/>
    <w:rsid w:val="005E6E20"/>
    <w:rsid w:val="005E7D1D"/>
    <w:rsid w:val="005F0791"/>
    <w:rsid w:val="005F1F9E"/>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97D37"/>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1269"/>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04FE"/>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18D6"/>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natalie.miller@iowacourt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hyperlink" Target="mailto:natalie.miller@iowacourts.gov" TargetMode="Externa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hyperlink" Target="mailto:natalie.miller@iowacourt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natalie.miller@iowacourts.go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troy.seeley@iowacourts.gov"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13333</Words>
  <Characters>76002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89157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5</cp:revision>
  <cp:lastPrinted>2019-11-01T20:32:00Z</cp:lastPrinted>
  <dcterms:created xsi:type="dcterms:W3CDTF">2026-04-13T12:24:00Z</dcterms:created>
  <dcterms:modified xsi:type="dcterms:W3CDTF">2026-04-30T14:36:00Z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