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DCF2" w14:textId="158C7541" w:rsidR="00B62D96" w:rsidRPr="0017380D" w:rsidRDefault="006D2B80" w:rsidP="006D2B80">
      <w:pPr>
        <w:pStyle w:val="Heading1"/>
        <w:keepNext w:val="0"/>
        <w:jc w:val="center"/>
        <w:rPr>
          <w:sz w:val="24"/>
          <w:szCs w:val="24"/>
        </w:rPr>
      </w:pPr>
      <w:bookmarkStart w:id="0" w:name="_Hlk144393439"/>
      <w:r w:rsidRPr="0017380D">
        <w:rPr>
          <w:sz w:val="24"/>
          <w:szCs w:val="24"/>
        </w:rPr>
        <w:t xml:space="preserve">Attachment </w:t>
      </w:r>
      <w:r w:rsidR="00894A2C">
        <w:rPr>
          <w:sz w:val="24"/>
          <w:szCs w:val="24"/>
        </w:rPr>
        <w:t>G</w:t>
      </w:r>
      <w:r w:rsidRPr="0017380D">
        <w:rPr>
          <w:sz w:val="24"/>
          <w:szCs w:val="24"/>
        </w:rPr>
        <w:t xml:space="preserve">: </w:t>
      </w:r>
    </w:p>
    <w:p w14:paraId="79A87EA2" w14:textId="3EFAB14E" w:rsidR="006D2B80" w:rsidRPr="0017380D" w:rsidRDefault="00B62D96" w:rsidP="006D2B80">
      <w:pPr>
        <w:pStyle w:val="Heading1"/>
        <w:keepNext w:val="0"/>
        <w:jc w:val="center"/>
        <w:rPr>
          <w:sz w:val="24"/>
          <w:szCs w:val="24"/>
        </w:rPr>
      </w:pPr>
      <w:r w:rsidRPr="0017380D">
        <w:rPr>
          <w:bCs/>
          <w:sz w:val="24"/>
          <w:szCs w:val="24"/>
        </w:rPr>
        <w:t>Agency-provided Facilities, Equipment, and Software</w:t>
      </w:r>
      <w:r w:rsidRPr="0017380D">
        <w:rPr>
          <w:sz w:val="24"/>
          <w:szCs w:val="24"/>
        </w:rPr>
        <w:t> </w:t>
      </w:r>
    </w:p>
    <w:p w14:paraId="454E24BA" w14:textId="77777777" w:rsidR="00251F20" w:rsidRDefault="00251F20" w:rsidP="006D2B80">
      <w:pPr>
        <w:pStyle w:val="BodyText"/>
        <w:rPr>
          <w:b w:val="0"/>
        </w:rPr>
      </w:pPr>
    </w:p>
    <w:p w14:paraId="3A259F4C" w14:textId="77777777" w:rsidR="00251F20" w:rsidRPr="00251F20" w:rsidRDefault="00251F20" w:rsidP="00251F20">
      <w:r w:rsidRPr="00251F20">
        <w:t>As part of the Contract agreement the Agency will not require all Contractor staff be housed at the Iowa Medicaid facility. The Agency will allow flexibility with staff working from home and on-site, subject to Agency approval. Regardless of whether staff are working from home or on-site, the Agency will provide the following to Contractor staff, unless otherwise noted below:</w:t>
      </w:r>
    </w:p>
    <w:p w14:paraId="505D03D2" w14:textId="77777777" w:rsidR="00251F20" w:rsidRPr="00251F20" w:rsidRDefault="00251F20" w:rsidP="00251F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968"/>
      </w:tblGrid>
      <w:tr w:rsidR="00251F20" w:rsidRPr="00DA2F4F" w14:paraId="678B2EF8" w14:textId="77777777" w:rsidTr="00CC5B54">
        <w:tc>
          <w:tcPr>
            <w:tcW w:w="4679" w:type="dxa"/>
          </w:tcPr>
          <w:p w14:paraId="1B6867A2" w14:textId="77777777" w:rsidR="00251F20" w:rsidRPr="00251F20" w:rsidRDefault="00251F20" w:rsidP="00251F20">
            <w:pPr>
              <w:pStyle w:val="ListParagraph"/>
              <w:numPr>
                <w:ilvl w:val="0"/>
                <w:numId w:val="3"/>
              </w:numPr>
              <w:rPr>
                <w:sz w:val="22"/>
                <w:szCs w:val="22"/>
              </w:rPr>
            </w:pPr>
            <w:r w:rsidRPr="00251F20">
              <w:rPr>
                <w:sz w:val="22"/>
                <w:szCs w:val="22"/>
              </w:rPr>
              <w:t xml:space="preserve">Shared office </w:t>
            </w:r>
            <w:proofErr w:type="gramStart"/>
            <w:r w:rsidRPr="00251F20">
              <w:rPr>
                <w:sz w:val="22"/>
                <w:szCs w:val="22"/>
              </w:rPr>
              <w:t>work space</w:t>
            </w:r>
            <w:proofErr w:type="gramEnd"/>
            <w:r w:rsidRPr="00251F20">
              <w:rPr>
                <w:sz w:val="22"/>
                <w:szCs w:val="22"/>
              </w:rPr>
              <w:t>* (on-site only)</w:t>
            </w:r>
          </w:p>
        </w:tc>
        <w:tc>
          <w:tcPr>
            <w:tcW w:w="5391" w:type="dxa"/>
          </w:tcPr>
          <w:p w14:paraId="0F5C6B40" w14:textId="51F69974" w:rsidR="00251F20" w:rsidRPr="00251F20" w:rsidRDefault="00251F20" w:rsidP="00251F20">
            <w:pPr>
              <w:pStyle w:val="ListParagraph"/>
              <w:numPr>
                <w:ilvl w:val="0"/>
                <w:numId w:val="3"/>
              </w:numPr>
              <w:rPr>
                <w:sz w:val="22"/>
                <w:szCs w:val="22"/>
              </w:rPr>
            </w:pPr>
            <w:r>
              <w:rPr>
                <w:sz w:val="22"/>
                <w:szCs w:val="22"/>
              </w:rPr>
              <w:t>H</w:t>
            </w:r>
            <w:r w:rsidRPr="00251F20">
              <w:rPr>
                <w:sz w:val="22"/>
                <w:szCs w:val="22"/>
              </w:rPr>
              <w:t>HS Standard Forms</w:t>
            </w:r>
          </w:p>
        </w:tc>
      </w:tr>
      <w:tr w:rsidR="00251F20" w:rsidRPr="00DA2F4F" w14:paraId="17AA4A6E" w14:textId="77777777" w:rsidTr="00CC5B54">
        <w:tc>
          <w:tcPr>
            <w:tcW w:w="4679" w:type="dxa"/>
          </w:tcPr>
          <w:p w14:paraId="6195CD30" w14:textId="77777777" w:rsidR="00251F20" w:rsidRPr="00251F20" w:rsidRDefault="00251F20" w:rsidP="00251F20">
            <w:pPr>
              <w:pStyle w:val="ListParagraph"/>
              <w:numPr>
                <w:ilvl w:val="0"/>
                <w:numId w:val="3"/>
              </w:numPr>
              <w:rPr>
                <w:sz w:val="22"/>
                <w:szCs w:val="22"/>
              </w:rPr>
            </w:pPr>
            <w:r w:rsidRPr="00251F20">
              <w:rPr>
                <w:sz w:val="22"/>
                <w:szCs w:val="22"/>
              </w:rPr>
              <w:t>Telephones and telephone service</w:t>
            </w:r>
          </w:p>
        </w:tc>
        <w:tc>
          <w:tcPr>
            <w:tcW w:w="5391" w:type="dxa"/>
          </w:tcPr>
          <w:p w14:paraId="4AED9642" w14:textId="77777777" w:rsidR="00251F20" w:rsidRPr="00251F20" w:rsidRDefault="00251F20" w:rsidP="00251F20">
            <w:pPr>
              <w:pStyle w:val="ListParagraph"/>
              <w:numPr>
                <w:ilvl w:val="0"/>
                <w:numId w:val="3"/>
              </w:numPr>
              <w:rPr>
                <w:sz w:val="22"/>
                <w:szCs w:val="22"/>
              </w:rPr>
            </w:pPr>
            <w:r w:rsidRPr="00251F20">
              <w:rPr>
                <w:sz w:val="22"/>
                <w:szCs w:val="22"/>
              </w:rPr>
              <w:t>Access to storage (on-site only)</w:t>
            </w:r>
          </w:p>
        </w:tc>
      </w:tr>
      <w:tr w:rsidR="00251F20" w:rsidRPr="00DA2F4F" w14:paraId="679FC638" w14:textId="77777777" w:rsidTr="00CC5B54">
        <w:tc>
          <w:tcPr>
            <w:tcW w:w="4679" w:type="dxa"/>
          </w:tcPr>
          <w:p w14:paraId="7AF61960" w14:textId="77777777" w:rsidR="00251F20" w:rsidRPr="00251F20" w:rsidRDefault="00251F20" w:rsidP="00251F20">
            <w:pPr>
              <w:pStyle w:val="ListParagraph"/>
              <w:numPr>
                <w:ilvl w:val="0"/>
                <w:numId w:val="3"/>
              </w:numPr>
              <w:rPr>
                <w:sz w:val="22"/>
                <w:szCs w:val="22"/>
              </w:rPr>
            </w:pPr>
            <w:r w:rsidRPr="00251F20">
              <w:rPr>
                <w:sz w:val="22"/>
                <w:szCs w:val="22"/>
              </w:rPr>
              <w:t>Standard Agency Desktop PC or Laptop with docking station</w:t>
            </w:r>
          </w:p>
        </w:tc>
        <w:tc>
          <w:tcPr>
            <w:tcW w:w="5391" w:type="dxa"/>
          </w:tcPr>
          <w:p w14:paraId="4E3879A6" w14:textId="77777777" w:rsidR="00251F20" w:rsidRPr="00251F20" w:rsidRDefault="00251F20" w:rsidP="00251F20">
            <w:pPr>
              <w:pStyle w:val="ListParagraph"/>
              <w:numPr>
                <w:ilvl w:val="0"/>
                <w:numId w:val="3"/>
              </w:numPr>
              <w:rPr>
                <w:sz w:val="22"/>
                <w:szCs w:val="22"/>
              </w:rPr>
            </w:pPr>
            <w:r w:rsidRPr="00251F20">
              <w:rPr>
                <w:sz w:val="22"/>
                <w:szCs w:val="22"/>
              </w:rPr>
              <w:t>Access to break rooms, restrooms, and conference rooms (on-site only)</w:t>
            </w:r>
          </w:p>
        </w:tc>
      </w:tr>
      <w:tr w:rsidR="00251F20" w:rsidRPr="00DA2F4F" w14:paraId="2C700DDA" w14:textId="77777777" w:rsidTr="00CC5B54">
        <w:tc>
          <w:tcPr>
            <w:tcW w:w="4679" w:type="dxa"/>
          </w:tcPr>
          <w:p w14:paraId="77844847" w14:textId="77777777" w:rsidR="00251F20" w:rsidRPr="00251F20" w:rsidRDefault="00251F20" w:rsidP="00251F20">
            <w:pPr>
              <w:pStyle w:val="ListParagraph"/>
              <w:numPr>
                <w:ilvl w:val="0"/>
                <w:numId w:val="3"/>
              </w:numPr>
              <w:rPr>
                <w:sz w:val="22"/>
                <w:szCs w:val="22"/>
              </w:rPr>
            </w:pPr>
            <w:r w:rsidRPr="00251F20">
              <w:rPr>
                <w:sz w:val="22"/>
                <w:szCs w:val="22"/>
              </w:rPr>
              <w:t>Keyboard and mouse</w:t>
            </w:r>
          </w:p>
        </w:tc>
        <w:tc>
          <w:tcPr>
            <w:tcW w:w="5391" w:type="dxa"/>
          </w:tcPr>
          <w:p w14:paraId="28D5C840" w14:textId="77777777" w:rsidR="00251F20" w:rsidRPr="00251F20" w:rsidRDefault="00251F20" w:rsidP="00251F20">
            <w:pPr>
              <w:pStyle w:val="ListParagraph"/>
              <w:numPr>
                <w:ilvl w:val="0"/>
                <w:numId w:val="3"/>
              </w:numPr>
              <w:rPr>
                <w:sz w:val="22"/>
                <w:szCs w:val="22"/>
              </w:rPr>
            </w:pPr>
            <w:r w:rsidRPr="00251F20">
              <w:rPr>
                <w:sz w:val="22"/>
                <w:szCs w:val="22"/>
              </w:rPr>
              <w:t>Internet Access (on-site only)</w:t>
            </w:r>
          </w:p>
        </w:tc>
      </w:tr>
      <w:tr w:rsidR="00251F20" w:rsidRPr="00DA2F4F" w14:paraId="1B35B2A3" w14:textId="77777777" w:rsidTr="00CC5B54">
        <w:tc>
          <w:tcPr>
            <w:tcW w:w="4679" w:type="dxa"/>
          </w:tcPr>
          <w:p w14:paraId="61D02C6D" w14:textId="77777777" w:rsidR="00251F20" w:rsidRPr="00251F20" w:rsidRDefault="00251F20" w:rsidP="00251F20">
            <w:pPr>
              <w:pStyle w:val="ListParagraph"/>
              <w:numPr>
                <w:ilvl w:val="0"/>
                <w:numId w:val="3"/>
              </w:numPr>
              <w:rPr>
                <w:sz w:val="22"/>
                <w:szCs w:val="22"/>
              </w:rPr>
            </w:pPr>
            <w:r w:rsidRPr="00251F20">
              <w:rPr>
                <w:sz w:val="22"/>
                <w:szCs w:val="22"/>
              </w:rPr>
              <w:t>DHS Network Access</w:t>
            </w:r>
          </w:p>
        </w:tc>
        <w:tc>
          <w:tcPr>
            <w:tcW w:w="5391" w:type="dxa"/>
          </w:tcPr>
          <w:p w14:paraId="0A452F56" w14:textId="4F4B477B" w:rsidR="00251F20" w:rsidRPr="00251F20" w:rsidRDefault="00251F20" w:rsidP="00251F20">
            <w:pPr>
              <w:pStyle w:val="ListParagraph"/>
              <w:numPr>
                <w:ilvl w:val="0"/>
                <w:numId w:val="3"/>
              </w:numPr>
              <w:rPr>
                <w:szCs w:val="22"/>
              </w:rPr>
            </w:pPr>
            <w:r w:rsidRPr="00251F20">
              <w:rPr>
                <w:sz w:val="22"/>
                <w:szCs w:val="22"/>
              </w:rPr>
              <w:t>Access to shredding (on-site only)</w:t>
            </w:r>
          </w:p>
        </w:tc>
      </w:tr>
      <w:tr w:rsidR="00251F20" w:rsidRPr="00DA2F4F" w14:paraId="55F29452" w14:textId="77777777" w:rsidTr="00CC5B54">
        <w:tc>
          <w:tcPr>
            <w:tcW w:w="4679" w:type="dxa"/>
          </w:tcPr>
          <w:p w14:paraId="7612DA1F" w14:textId="72266438" w:rsidR="00251F20" w:rsidRPr="00251F20" w:rsidRDefault="00251F20" w:rsidP="00251F20">
            <w:pPr>
              <w:pStyle w:val="ListParagraph"/>
              <w:numPr>
                <w:ilvl w:val="0"/>
                <w:numId w:val="3"/>
              </w:numPr>
              <w:rPr>
                <w:sz w:val="22"/>
                <w:szCs w:val="22"/>
              </w:rPr>
            </w:pPr>
            <w:r w:rsidRPr="00251F20">
              <w:rPr>
                <w:sz w:val="22"/>
                <w:szCs w:val="22"/>
              </w:rPr>
              <w:t xml:space="preserve">Access to </w:t>
            </w:r>
            <w:r>
              <w:rPr>
                <w:sz w:val="22"/>
                <w:szCs w:val="22"/>
              </w:rPr>
              <w:t>HHS</w:t>
            </w:r>
            <w:r w:rsidRPr="00251F20">
              <w:rPr>
                <w:sz w:val="22"/>
                <w:szCs w:val="22"/>
              </w:rPr>
              <w:t xml:space="preserve"> laptops for occasional use</w:t>
            </w:r>
          </w:p>
        </w:tc>
        <w:tc>
          <w:tcPr>
            <w:tcW w:w="5391" w:type="dxa"/>
          </w:tcPr>
          <w:p w14:paraId="4C46DF55" w14:textId="5722917B" w:rsidR="00251F20" w:rsidRPr="00251F20" w:rsidRDefault="00251F20" w:rsidP="00251F20">
            <w:pPr>
              <w:pStyle w:val="ListParagraph"/>
              <w:numPr>
                <w:ilvl w:val="0"/>
                <w:numId w:val="3"/>
              </w:numPr>
              <w:rPr>
                <w:sz w:val="22"/>
                <w:szCs w:val="22"/>
              </w:rPr>
            </w:pPr>
            <w:r w:rsidRPr="00251F20">
              <w:rPr>
                <w:sz w:val="22"/>
                <w:szCs w:val="22"/>
              </w:rPr>
              <w:t>Access to copiers including copy supplies, network printers, and Fax (on-site only)</w:t>
            </w:r>
          </w:p>
        </w:tc>
      </w:tr>
      <w:tr w:rsidR="00251F20" w:rsidRPr="00DA2F4F" w14:paraId="71336D98" w14:textId="77777777" w:rsidTr="00CC5B54">
        <w:tc>
          <w:tcPr>
            <w:tcW w:w="4679" w:type="dxa"/>
          </w:tcPr>
          <w:p w14:paraId="563102D3" w14:textId="4722E3D5" w:rsidR="00251F20" w:rsidRPr="00251F20" w:rsidRDefault="00251F20" w:rsidP="00251F20">
            <w:pPr>
              <w:pStyle w:val="ListParagraph"/>
              <w:numPr>
                <w:ilvl w:val="0"/>
                <w:numId w:val="3"/>
              </w:numPr>
              <w:rPr>
                <w:sz w:val="22"/>
                <w:szCs w:val="22"/>
              </w:rPr>
            </w:pPr>
            <w:r w:rsidRPr="00251F20">
              <w:rPr>
                <w:sz w:val="22"/>
                <w:szCs w:val="22"/>
              </w:rPr>
              <w:t>Printing, envelopes, and postage for correspondence directly related to the Iowa Medicaid Program</w:t>
            </w:r>
          </w:p>
        </w:tc>
        <w:tc>
          <w:tcPr>
            <w:tcW w:w="5391" w:type="dxa"/>
          </w:tcPr>
          <w:p w14:paraId="31464E37" w14:textId="2D145EB3" w:rsidR="00251F20" w:rsidRPr="00251F20" w:rsidRDefault="00251F20" w:rsidP="00251F20">
            <w:pPr>
              <w:pStyle w:val="ListParagraph"/>
              <w:numPr>
                <w:ilvl w:val="0"/>
                <w:numId w:val="3"/>
              </w:numPr>
              <w:rPr>
                <w:sz w:val="22"/>
                <w:szCs w:val="22"/>
              </w:rPr>
            </w:pPr>
            <w:r w:rsidRPr="00251F20">
              <w:rPr>
                <w:sz w:val="22"/>
                <w:szCs w:val="22"/>
              </w:rPr>
              <w:t xml:space="preserve">Access to </w:t>
            </w:r>
            <w:r>
              <w:rPr>
                <w:sz w:val="22"/>
                <w:szCs w:val="22"/>
              </w:rPr>
              <w:t>Agency</w:t>
            </w:r>
            <w:r w:rsidRPr="00251F20">
              <w:rPr>
                <w:sz w:val="22"/>
                <w:szCs w:val="22"/>
              </w:rPr>
              <w:t xml:space="preserve"> training equipment (on-site only)</w:t>
            </w:r>
          </w:p>
        </w:tc>
      </w:tr>
      <w:tr w:rsidR="00251F20" w:rsidRPr="00DA2F4F" w14:paraId="0C2E5FF8" w14:textId="77777777" w:rsidTr="00CC5B54">
        <w:tc>
          <w:tcPr>
            <w:tcW w:w="4679" w:type="dxa"/>
          </w:tcPr>
          <w:p w14:paraId="5D004359" w14:textId="03E5D37B" w:rsidR="00251F20" w:rsidRPr="00251F20" w:rsidRDefault="00251F20" w:rsidP="00251F20">
            <w:pPr>
              <w:pStyle w:val="ListParagraph"/>
              <w:numPr>
                <w:ilvl w:val="0"/>
                <w:numId w:val="3"/>
              </w:numPr>
              <w:rPr>
                <w:sz w:val="22"/>
                <w:szCs w:val="22"/>
              </w:rPr>
            </w:pPr>
            <w:r w:rsidRPr="00251F20">
              <w:rPr>
                <w:sz w:val="22"/>
                <w:szCs w:val="22"/>
              </w:rPr>
              <w:t>Software List (see table below)</w:t>
            </w:r>
          </w:p>
        </w:tc>
        <w:tc>
          <w:tcPr>
            <w:tcW w:w="5391" w:type="dxa"/>
          </w:tcPr>
          <w:p w14:paraId="6E249328" w14:textId="2D648241" w:rsidR="00251F20" w:rsidRPr="00251F20" w:rsidRDefault="00251F20" w:rsidP="00251F20">
            <w:pPr>
              <w:ind w:left="360"/>
              <w:rPr>
                <w:szCs w:val="22"/>
              </w:rPr>
            </w:pPr>
          </w:p>
        </w:tc>
      </w:tr>
    </w:tbl>
    <w:p w14:paraId="6A245913" w14:textId="77777777" w:rsidR="00251F20" w:rsidRPr="00251F20" w:rsidRDefault="00251F20" w:rsidP="00251F20"/>
    <w:p w14:paraId="0F7A1FA6" w14:textId="77777777" w:rsidR="00251F20" w:rsidRPr="00251F20" w:rsidRDefault="00251F20" w:rsidP="00251F20">
      <w:r w:rsidRPr="00251F20">
        <w:t>Note:</w:t>
      </w:r>
    </w:p>
    <w:p w14:paraId="7F44E1FC" w14:textId="5B1CCC70" w:rsidR="006D2B80" w:rsidRDefault="00251F20" w:rsidP="00251F20">
      <w:pPr>
        <w:rPr>
          <w:bCs/>
        </w:rPr>
      </w:pPr>
      <w:r w:rsidRPr="00251F20">
        <w:t xml:space="preserve">* Work surfaces throughout the building have been installed at the “standard” height.  If a </w:t>
      </w:r>
      <w:proofErr w:type="gramStart"/>
      <w:r w:rsidRPr="00251F20">
        <w:t>Contractor</w:t>
      </w:r>
      <w:proofErr w:type="gramEnd"/>
      <w:r w:rsidRPr="00251F20">
        <w:t xml:space="preserve"> employee is tall or short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6FE376A9" w14:textId="77777777" w:rsidR="00251F20" w:rsidRPr="0032563E" w:rsidRDefault="00251F20" w:rsidP="00251F20">
      <w:pPr>
        <w:pStyle w:val="BodyText"/>
        <w:rPr>
          <w:b w:val="0"/>
        </w:rPr>
      </w:pPr>
    </w:p>
    <w:p w14:paraId="0C9A1AA6" w14:textId="77777777" w:rsidR="00EF6010" w:rsidRDefault="00EF6010" w:rsidP="00EF6010">
      <w:pPr>
        <w:tabs>
          <w:tab w:val="left" w:pos="720"/>
        </w:tabs>
        <w:jc w:val="center"/>
        <w:rPr>
          <w:b/>
        </w:rPr>
      </w:pPr>
      <w:r>
        <w:rPr>
          <w:b/>
        </w:rPr>
        <w:t xml:space="preserve">Systems and </w:t>
      </w:r>
      <w:r w:rsidRPr="003D74E1">
        <w:rPr>
          <w:b/>
        </w:rPr>
        <w:t>Software List</w:t>
      </w:r>
    </w:p>
    <w:p w14:paraId="0EFD1991" w14:textId="77777777" w:rsidR="00EF6010" w:rsidRPr="00F02193" w:rsidRDefault="00EF6010" w:rsidP="00EF6010">
      <w:r w:rsidRPr="00EF6010">
        <w:t xml:space="preserve">Below is a list of Agency-licensed systems and software available for use on Agency computers. </w:t>
      </w:r>
    </w:p>
    <w:p w14:paraId="1ECA7930" w14:textId="77777777" w:rsidR="00EF6010" w:rsidRPr="008B5691" w:rsidRDefault="00EF6010" w:rsidP="00EF6010">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75"/>
      </w:tblGrid>
      <w:tr w:rsidR="00EF6010" w14:paraId="5D179864" w14:textId="77777777" w:rsidTr="00197ACC">
        <w:trPr>
          <w:jc w:val="center"/>
        </w:trPr>
        <w:tc>
          <w:tcPr>
            <w:tcW w:w="2500" w:type="pct"/>
            <w:shd w:val="clear" w:color="auto" w:fill="D9D9D9" w:themeFill="background1" w:themeFillShade="D9"/>
          </w:tcPr>
          <w:p w14:paraId="5897F20A" w14:textId="77777777" w:rsidR="00EF6010" w:rsidRDefault="00EF6010" w:rsidP="00197ACC">
            <w:pPr>
              <w:pStyle w:val="NoSpacing"/>
              <w:jc w:val="center"/>
              <w:rPr>
                <w:b/>
                <w:bCs/>
              </w:rPr>
            </w:pPr>
            <w:r>
              <w:rPr>
                <w:b/>
                <w:bCs/>
              </w:rPr>
              <w:t>Name of System/Software</w:t>
            </w:r>
          </w:p>
        </w:tc>
        <w:tc>
          <w:tcPr>
            <w:tcW w:w="2500" w:type="pct"/>
            <w:shd w:val="clear" w:color="auto" w:fill="D9D9D9" w:themeFill="background1" w:themeFillShade="D9"/>
          </w:tcPr>
          <w:p w14:paraId="582D4E09" w14:textId="77777777" w:rsidR="00EF6010" w:rsidRDefault="00EF6010" w:rsidP="00197ACC">
            <w:pPr>
              <w:pStyle w:val="NoSpacing"/>
              <w:jc w:val="center"/>
              <w:rPr>
                <w:b/>
                <w:bCs/>
              </w:rPr>
            </w:pPr>
            <w:r>
              <w:rPr>
                <w:b/>
                <w:bCs/>
              </w:rPr>
              <w:t>Business Purpose</w:t>
            </w:r>
          </w:p>
        </w:tc>
      </w:tr>
      <w:tr w:rsidR="00EF6010" w14:paraId="7DA4B295" w14:textId="77777777" w:rsidTr="00197ACC">
        <w:trPr>
          <w:trHeight w:val="170"/>
          <w:jc w:val="center"/>
        </w:trPr>
        <w:tc>
          <w:tcPr>
            <w:tcW w:w="2500" w:type="pct"/>
          </w:tcPr>
          <w:p w14:paraId="6D3E2E75" w14:textId="77777777" w:rsidR="00EF6010" w:rsidRDefault="00EF6010" w:rsidP="00197ACC">
            <w:pPr>
              <w:pStyle w:val="NoSpacing"/>
              <w:jc w:val="left"/>
            </w:pPr>
            <w:r>
              <w:t>Adobe Acrobat</w:t>
            </w:r>
          </w:p>
        </w:tc>
        <w:tc>
          <w:tcPr>
            <w:tcW w:w="2500" w:type="pct"/>
          </w:tcPr>
          <w:p w14:paraId="0589418F" w14:textId="77777777" w:rsidR="00EF6010" w:rsidRDefault="00EF6010" w:rsidP="00197ACC">
            <w:pPr>
              <w:pStyle w:val="NoSpacing"/>
              <w:jc w:val="left"/>
            </w:pPr>
            <w:r>
              <w:t>Reports</w:t>
            </w:r>
          </w:p>
        </w:tc>
      </w:tr>
      <w:tr w:rsidR="00EF6010" w14:paraId="05E79BB2" w14:textId="77777777" w:rsidTr="00197ACC">
        <w:trPr>
          <w:jc w:val="center"/>
        </w:trPr>
        <w:tc>
          <w:tcPr>
            <w:tcW w:w="2500" w:type="pct"/>
          </w:tcPr>
          <w:p w14:paraId="326401B4" w14:textId="77777777" w:rsidR="00EF6010" w:rsidRDefault="00EF6010" w:rsidP="00197ACC">
            <w:pPr>
              <w:pStyle w:val="NoSpacing"/>
              <w:jc w:val="left"/>
            </w:pPr>
            <w:r>
              <w:t>Appeals Information System (AIS)</w:t>
            </w:r>
          </w:p>
        </w:tc>
        <w:tc>
          <w:tcPr>
            <w:tcW w:w="2500" w:type="pct"/>
          </w:tcPr>
          <w:p w14:paraId="41A22EBB" w14:textId="77777777" w:rsidR="00EF6010" w:rsidRDefault="00EF6010" w:rsidP="00197ACC">
            <w:pPr>
              <w:pStyle w:val="NoSpacing"/>
              <w:jc w:val="left"/>
            </w:pPr>
            <w:r>
              <w:t>DHS System for appeal tracking</w:t>
            </w:r>
          </w:p>
        </w:tc>
      </w:tr>
      <w:tr w:rsidR="00EF6010" w14:paraId="1F74987D" w14:textId="77777777" w:rsidTr="00197ACC">
        <w:trPr>
          <w:jc w:val="center"/>
        </w:trPr>
        <w:tc>
          <w:tcPr>
            <w:tcW w:w="2500" w:type="pct"/>
          </w:tcPr>
          <w:p w14:paraId="214CB463" w14:textId="77777777" w:rsidR="00EF6010" w:rsidRDefault="00EF6010" w:rsidP="00197ACC">
            <w:pPr>
              <w:pStyle w:val="NoSpacing"/>
              <w:jc w:val="left"/>
            </w:pPr>
            <w:r w:rsidRPr="00866787">
              <w:t>Cisco CallRex</w:t>
            </w:r>
          </w:p>
        </w:tc>
        <w:tc>
          <w:tcPr>
            <w:tcW w:w="2500" w:type="pct"/>
          </w:tcPr>
          <w:p w14:paraId="16B100B3" w14:textId="77777777" w:rsidR="00EF6010" w:rsidRDefault="00EF6010" w:rsidP="00197ACC">
            <w:pPr>
              <w:pStyle w:val="NoSpacing"/>
              <w:jc w:val="left"/>
            </w:pPr>
            <w:r>
              <w:t>Call center recording software</w:t>
            </w:r>
          </w:p>
        </w:tc>
      </w:tr>
      <w:tr w:rsidR="00EF6010" w14:paraId="7C66D4C8" w14:textId="77777777" w:rsidTr="00197ACC">
        <w:trPr>
          <w:jc w:val="center"/>
        </w:trPr>
        <w:tc>
          <w:tcPr>
            <w:tcW w:w="2500" w:type="pct"/>
          </w:tcPr>
          <w:p w14:paraId="570AB57F" w14:textId="77777777" w:rsidR="00EF6010" w:rsidRDefault="00EF6010" w:rsidP="00197ACC">
            <w:pPr>
              <w:pStyle w:val="NoSpacing"/>
              <w:jc w:val="left"/>
            </w:pPr>
            <w:r>
              <w:t>Cisco VPN</w:t>
            </w:r>
          </w:p>
        </w:tc>
        <w:tc>
          <w:tcPr>
            <w:tcW w:w="2500" w:type="pct"/>
          </w:tcPr>
          <w:p w14:paraId="50E1AAEB" w14:textId="77777777" w:rsidR="00EF6010" w:rsidRDefault="00EF6010" w:rsidP="00197ACC">
            <w:pPr>
              <w:pStyle w:val="NoSpacing"/>
              <w:jc w:val="left"/>
            </w:pPr>
            <w:r>
              <w:t>Field staff use to connect to the DHS network</w:t>
            </w:r>
          </w:p>
        </w:tc>
      </w:tr>
      <w:tr w:rsidR="00EF6010" w14:paraId="3FDF0301" w14:textId="77777777" w:rsidTr="00197ACC">
        <w:trPr>
          <w:jc w:val="center"/>
        </w:trPr>
        <w:tc>
          <w:tcPr>
            <w:tcW w:w="2500" w:type="pct"/>
          </w:tcPr>
          <w:p w14:paraId="1A798C6D" w14:textId="77777777" w:rsidR="00EF6010" w:rsidRDefault="00EF6010" w:rsidP="00197ACC">
            <w:pPr>
              <w:pStyle w:val="NoSpacing"/>
              <w:jc w:val="left"/>
            </w:pPr>
            <w:r>
              <w:t>First Data Bank (previously known as MEDISPAN)</w:t>
            </w:r>
          </w:p>
        </w:tc>
        <w:tc>
          <w:tcPr>
            <w:tcW w:w="2500" w:type="pct"/>
          </w:tcPr>
          <w:p w14:paraId="440CF34F" w14:textId="77777777" w:rsidR="00EF6010" w:rsidRDefault="00EF6010" w:rsidP="00197ACC">
            <w:pPr>
              <w:pStyle w:val="NoSpacing"/>
              <w:jc w:val="left"/>
            </w:pPr>
            <w:r w:rsidRPr="00BE0CC4">
              <w:rPr>
                <w:color w:val="000000"/>
              </w:rPr>
              <w:t>Clinical drug information to help inform medication-related decisions</w:t>
            </w:r>
          </w:p>
        </w:tc>
      </w:tr>
      <w:tr w:rsidR="00B62D96" w14:paraId="08BA62F0" w14:textId="77777777" w:rsidTr="00F75FDE">
        <w:trPr>
          <w:jc w:val="center"/>
        </w:trPr>
        <w:tc>
          <w:tcPr>
            <w:tcW w:w="2500" w:type="pct"/>
            <w:vAlign w:val="center"/>
          </w:tcPr>
          <w:p w14:paraId="0919C1B5" w14:textId="1F81164F" w:rsidR="00B62D96" w:rsidRDefault="00B62D96" w:rsidP="00B62D96">
            <w:pPr>
              <w:pStyle w:val="NoSpacing"/>
              <w:jc w:val="left"/>
            </w:pPr>
            <w:r w:rsidRPr="00DA2F4F">
              <w:t>Microsoft Windows 10 Enterprise Operating System</w:t>
            </w:r>
          </w:p>
        </w:tc>
        <w:tc>
          <w:tcPr>
            <w:tcW w:w="2500" w:type="pct"/>
            <w:vAlign w:val="center"/>
          </w:tcPr>
          <w:p w14:paraId="3C28EA89" w14:textId="36419E94" w:rsidR="00B62D96" w:rsidRPr="00BE0CC4" w:rsidRDefault="00B62D96" w:rsidP="00B62D96">
            <w:pPr>
              <w:pStyle w:val="NoSpacing"/>
              <w:jc w:val="left"/>
              <w:rPr>
                <w:color w:val="000000"/>
              </w:rPr>
            </w:pPr>
            <w:r w:rsidRPr="00DA2F4F">
              <w:t>Operating system</w:t>
            </w:r>
          </w:p>
        </w:tc>
      </w:tr>
      <w:tr w:rsidR="00B62D96" w14:paraId="3E45D052" w14:textId="77777777" w:rsidTr="00197ACC">
        <w:trPr>
          <w:jc w:val="center"/>
        </w:trPr>
        <w:tc>
          <w:tcPr>
            <w:tcW w:w="2500" w:type="pct"/>
          </w:tcPr>
          <w:p w14:paraId="69830704" w14:textId="34493BC9" w:rsidR="00B62D96" w:rsidRPr="00902F4C" w:rsidRDefault="00B62D96" w:rsidP="00B62D96">
            <w:pPr>
              <w:pStyle w:val="NoSpacing"/>
              <w:jc w:val="left"/>
              <w:rPr>
                <w:highlight w:val="yellow"/>
              </w:rPr>
            </w:pPr>
            <w:r w:rsidRPr="00B62D96">
              <w:t>Microsoft Outlook</w:t>
            </w:r>
          </w:p>
        </w:tc>
        <w:tc>
          <w:tcPr>
            <w:tcW w:w="2500" w:type="pct"/>
          </w:tcPr>
          <w:p w14:paraId="62B1137F" w14:textId="30B25501" w:rsidR="00B62D96" w:rsidRDefault="00B62D96" w:rsidP="00B62D96">
            <w:pPr>
              <w:pStyle w:val="NoSpacing"/>
              <w:jc w:val="left"/>
            </w:pPr>
            <w:r>
              <w:t>Email and Calendar</w:t>
            </w:r>
          </w:p>
        </w:tc>
      </w:tr>
      <w:tr w:rsidR="00B62D96" w14:paraId="36577BEA" w14:textId="77777777" w:rsidTr="00197ACC">
        <w:trPr>
          <w:jc w:val="center"/>
        </w:trPr>
        <w:tc>
          <w:tcPr>
            <w:tcW w:w="2500" w:type="pct"/>
          </w:tcPr>
          <w:p w14:paraId="6E36334E" w14:textId="207D90E0" w:rsidR="00B62D96" w:rsidRPr="00902F4C" w:rsidRDefault="00B62D96" w:rsidP="00B62D96">
            <w:pPr>
              <w:pStyle w:val="NoSpacing"/>
              <w:jc w:val="left"/>
              <w:rPr>
                <w:highlight w:val="yellow"/>
              </w:rPr>
            </w:pPr>
            <w:r w:rsidRPr="00DA2F4F">
              <w:t>Microsoft Teams</w:t>
            </w:r>
          </w:p>
        </w:tc>
        <w:tc>
          <w:tcPr>
            <w:tcW w:w="2500" w:type="pct"/>
          </w:tcPr>
          <w:p w14:paraId="305B36F1" w14:textId="7F3F3DC3" w:rsidR="00B62D96" w:rsidRDefault="00B62D96" w:rsidP="00B62D96">
            <w:pPr>
              <w:pStyle w:val="NoSpacing"/>
              <w:jc w:val="left"/>
            </w:pPr>
            <w:r w:rsidRPr="00DA2F4F">
              <w:t xml:space="preserve">Video conferencing </w:t>
            </w:r>
          </w:p>
        </w:tc>
      </w:tr>
      <w:tr w:rsidR="00B62D96" w14:paraId="33C257CC" w14:textId="77777777" w:rsidTr="00197ACC">
        <w:trPr>
          <w:jc w:val="center"/>
        </w:trPr>
        <w:tc>
          <w:tcPr>
            <w:tcW w:w="2500" w:type="pct"/>
          </w:tcPr>
          <w:p w14:paraId="20FC6AF7" w14:textId="77777777" w:rsidR="00B62D96" w:rsidRDefault="00B62D96" w:rsidP="00B62D96">
            <w:pPr>
              <w:pStyle w:val="NoSpacing"/>
              <w:jc w:val="left"/>
            </w:pPr>
            <w:r>
              <w:t>Iowa Health Information Network (IHIN)</w:t>
            </w:r>
          </w:p>
        </w:tc>
        <w:tc>
          <w:tcPr>
            <w:tcW w:w="2500" w:type="pct"/>
          </w:tcPr>
          <w:p w14:paraId="0EA03949" w14:textId="77777777" w:rsidR="00B62D96" w:rsidRDefault="00B62D96" w:rsidP="00B62D96">
            <w:pPr>
              <w:pStyle w:val="NoSpacing"/>
              <w:jc w:val="left"/>
            </w:pPr>
            <w:r>
              <w:t>Iowa’s Health Information Exchange system, access EHR information, alerts, and notifications for Members</w:t>
            </w:r>
          </w:p>
        </w:tc>
      </w:tr>
      <w:tr w:rsidR="00B62D96" w14:paraId="47E82D56" w14:textId="77777777" w:rsidTr="00197ACC">
        <w:trPr>
          <w:jc w:val="center"/>
        </w:trPr>
        <w:tc>
          <w:tcPr>
            <w:tcW w:w="2500" w:type="pct"/>
          </w:tcPr>
          <w:p w14:paraId="41AF0261" w14:textId="77777777" w:rsidR="00B62D96" w:rsidRDefault="00B62D96" w:rsidP="00B62D96">
            <w:pPr>
              <w:pStyle w:val="NoSpacing"/>
              <w:jc w:val="left"/>
            </w:pPr>
            <w:r>
              <w:t>Iowa Medicaid Portal Access (IMPA)</w:t>
            </w:r>
          </w:p>
        </w:tc>
        <w:tc>
          <w:tcPr>
            <w:tcW w:w="2500" w:type="pct"/>
          </w:tcPr>
          <w:p w14:paraId="71FB11D6" w14:textId="77777777" w:rsidR="00B62D96" w:rsidRDefault="00B62D96" w:rsidP="00B62D96">
            <w:pPr>
              <w:pStyle w:val="NoSpacing"/>
              <w:jc w:val="left"/>
            </w:pPr>
            <w:r>
              <w:t>Secure DHS system for document uploads.</w:t>
            </w:r>
          </w:p>
        </w:tc>
      </w:tr>
      <w:tr w:rsidR="00B62D96" w14:paraId="37DD5C8E" w14:textId="77777777" w:rsidTr="00197ACC">
        <w:trPr>
          <w:jc w:val="center"/>
        </w:trPr>
        <w:tc>
          <w:tcPr>
            <w:tcW w:w="2500" w:type="pct"/>
          </w:tcPr>
          <w:p w14:paraId="37916E94" w14:textId="59332AD5" w:rsidR="00B62D96" w:rsidRDefault="00B62D96" w:rsidP="00B62D96">
            <w:pPr>
              <w:pStyle w:val="NoSpacing"/>
              <w:jc w:val="left"/>
            </w:pPr>
            <w:r w:rsidRPr="00DE3CB5">
              <w:lastRenderedPageBreak/>
              <w:t>Institutional and Waiver Authorization and Narrative System</w:t>
            </w:r>
            <w:r>
              <w:t xml:space="preserve"> (IoWANS)</w:t>
            </w:r>
          </w:p>
        </w:tc>
        <w:tc>
          <w:tcPr>
            <w:tcW w:w="2500" w:type="pct"/>
          </w:tcPr>
          <w:p w14:paraId="614BE6AD" w14:textId="77777777" w:rsidR="00B62D96" w:rsidRDefault="00B62D96" w:rsidP="00B62D96">
            <w:pPr>
              <w:pStyle w:val="NoSpacing"/>
              <w:jc w:val="left"/>
            </w:pPr>
            <w:r>
              <w:t>HCBS services coordination and workflow system.</w:t>
            </w:r>
          </w:p>
        </w:tc>
      </w:tr>
      <w:tr w:rsidR="00B62D96" w14:paraId="3F064854" w14:textId="77777777" w:rsidTr="00197ACC">
        <w:trPr>
          <w:jc w:val="center"/>
        </w:trPr>
        <w:tc>
          <w:tcPr>
            <w:tcW w:w="2500" w:type="pct"/>
          </w:tcPr>
          <w:p w14:paraId="42348808" w14:textId="5374FB42" w:rsidR="00B62D96" w:rsidRDefault="00B62D96" w:rsidP="00B62D96">
            <w:pPr>
              <w:pStyle w:val="NoSpacing"/>
              <w:jc w:val="left"/>
            </w:pPr>
            <w:r>
              <w:t>Microsoft 365 (Access, Excel, Powerpoint, Project, Publisher, Sharepoint, Visio, Word)</w:t>
            </w:r>
          </w:p>
        </w:tc>
        <w:tc>
          <w:tcPr>
            <w:tcW w:w="2500" w:type="pct"/>
          </w:tcPr>
          <w:p w14:paraId="74536994" w14:textId="77777777" w:rsidR="00B62D96" w:rsidRDefault="00B62D96" w:rsidP="00B62D96">
            <w:pPr>
              <w:pStyle w:val="NoSpacing"/>
              <w:jc w:val="left"/>
            </w:pPr>
          </w:p>
        </w:tc>
      </w:tr>
      <w:tr w:rsidR="00B62D96" w14:paraId="1E78878B" w14:textId="77777777" w:rsidTr="00197ACC">
        <w:trPr>
          <w:jc w:val="center"/>
        </w:trPr>
        <w:tc>
          <w:tcPr>
            <w:tcW w:w="2500" w:type="pct"/>
          </w:tcPr>
          <w:p w14:paraId="6F119834" w14:textId="77777777" w:rsidR="00B62D96" w:rsidRDefault="00B62D96" w:rsidP="00B62D96">
            <w:pPr>
              <w:pStyle w:val="NoSpacing"/>
              <w:jc w:val="left"/>
            </w:pPr>
            <w:r>
              <w:t>Microsoft Windows 7 Enterprise Operating System</w:t>
            </w:r>
          </w:p>
        </w:tc>
        <w:tc>
          <w:tcPr>
            <w:tcW w:w="2500" w:type="pct"/>
          </w:tcPr>
          <w:p w14:paraId="1108ECFE" w14:textId="77777777" w:rsidR="00B62D96" w:rsidRDefault="00B62D96" w:rsidP="00B62D96">
            <w:pPr>
              <w:pStyle w:val="NoSpacing"/>
              <w:jc w:val="left"/>
            </w:pPr>
            <w:r>
              <w:t>Operating system</w:t>
            </w:r>
          </w:p>
        </w:tc>
      </w:tr>
      <w:tr w:rsidR="00B62D96" w14:paraId="34964F70" w14:textId="77777777" w:rsidTr="00197ACC">
        <w:trPr>
          <w:jc w:val="center"/>
        </w:trPr>
        <w:tc>
          <w:tcPr>
            <w:tcW w:w="2500" w:type="pct"/>
          </w:tcPr>
          <w:p w14:paraId="10F4ACFA" w14:textId="77777777" w:rsidR="00B62D96" w:rsidRDefault="00B62D96" w:rsidP="00B62D96">
            <w:pPr>
              <w:pStyle w:val="NoSpacing"/>
              <w:jc w:val="left"/>
            </w:pPr>
            <w:r>
              <w:t>MMIS</w:t>
            </w:r>
          </w:p>
        </w:tc>
        <w:tc>
          <w:tcPr>
            <w:tcW w:w="2500" w:type="pct"/>
          </w:tcPr>
          <w:p w14:paraId="159C9F41" w14:textId="77777777" w:rsidR="00B62D96" w:rsidRDefault="00B62D96" w:rsidP="00B62D96">
            <w:pPr>
              <w:pStyle w:val="NoSpacing"/>
              <w:jc w:val="left"/>
            </w:pPr>
            <w:r>
              <w:t>Medicaid information system (enrollment, PA entry, claims)</w:t>
            </w:r>
          </w:p>
        </w:tc>
      </w:tr>
      <w:tr w:rsidR="00B62D96" w14:paraId="6C91920F" w14:textId="77777777" w:rsidTr="00197ACC">
        <w:trPr>
          <w:jc w:val="center"/>
        </w:trPr>
        <w:tc>
          <w:tcPr>
            <w:tcW w:w="2500" w:type="pct"/>
          </w:tcPr>
          <w:p w14:paraId="057258D4" w14:textId="77777777" w:rsidR="00B62D96" w:rsidRDefault="00B62D96" w:rsidP="00B62D96">
            <w:pPr>
              <w:pStyle w:val="NoSpacing"/>
              <w:jc w:val="left"/>
            </w:pPr>
            <w:r w:rsidRPr="009F2B30">
              <w:t xml:space="preserve">Medicaid Quality Utilization </w:t>
            </w:r>
            <w:r>
              <w:t>Information</w:t>
            </w:r>
            <w:r w:rsidRPr="009F2B30">
              <w:t xml:space="preserve"> Data System (MQUIDS)</w:t>
            </w:r>
          </w:p>
        </w:tc>
        <w:tc>
          <w:tcPr>
            <w:tcW w:w="2500" w:type="pct"/>
          </w:tcPr>
          <w:p w14:paraId="0EC66807" w14:textId="77777777" w:rsidR="00B62D96" w:rsidRDefault="00B62D96" w:rsidP="00B62D96">
            <w:pPr>
              <w:pStyle w:val="NoSpacing"/>
              <w:jc w:val="left"/>
            </w:pPr>
            <w:r>
              <w:t>D</w:t>
            </w:r>
            <w:r w:rsidRPr="00784C9F">
              <w:t>ata entry and retrieval application</w:t>
            </w:r>
            <w:r>
              <w:t xml:space="preserve"> for documenting review data and outcomes related to HCBS Programs </w:t>
            </w:r>
          </w:p>
        </w:tc>
      </w:tr>
      <w:tr w:rsidR="00B62D96" w14:paraId="3959C6DF" w14:textId="77777777" w:rsidTr="00197ACC">
        <w:trPr>
          <w:jc w:val="center"/>
        </w:trPr>
        <w:tc>
          <w:tcPr>
            <w:tcW w:w="2500" w:type="pct"/>
          </w:tcPr>
          <w:p w14:paraId="279D2829" w14:textId="77777777" w:rsidR="00B62D96" w:rsidRDefault="00B62D96" w:rsidP="00B62D96">
            <w:pPr>
              <w:pStyle w:val="NoSpacing"/>
              <w:jc w:val="left"/>
            </w:pPr>
            <w:r>
              <w:t>OnBase Client</w:t>
            </w:r>
          </w:p>
        </w:tc>
        <w:tc>
          <w:tcPr>
            <w:tcW w:w="2500" w:type="pct"/>
          </w:tcPr>
          <w:p w14:paraId="531A7726" w14:textId="77777777" w:rsidR="00B62D96" w:rsidRDefault="00B62D96" w:rsidP="00B62D96">
            <w:pPr>
              <w:pStyle w:val="NoSpacing"/>
              <w:jc w:val="left"/>
            </w:pPr>
            <w:r>
              <w:t>Workflow and document management system</w:t>
            </w:r>
          </w:p>
        </w:tc>
      </w:tr>
      <w:tr w:rsidR="00B62D96" w14:paraId="48E51E9D" w14:textId="77777777" w:rsidTr="005B0781">
        <w:trPr>
          <w:jc w:val="center"/>
        </w:trPr>
        <w:tc>
          <w:tcPr>
            <w:tcW w:w="2500" w:type="pct"/>
            <w:vAlign w:val="center"/>
          </w:tcPr>
          <w:p w14:paraId="4E8BFD76" w14:textId="19F22476" w:rsidR="00B62D96" w:rsidRDefault="00B62D96" w:rsidP="00B62D96">
            <w:pPr>
              <w:pStyle w:val="NoSpacing"/>
              <w:jc w:val="left"/>
            </w:pPr>
            <w:r w:rsidRPr="00DA2F4F">
              <w:t>PowerBI</w:t>
            </w:r>
          </w:p>
        </w:tc>
        <w:tc>
          <w:tcPr>
            <w:tcW w:w="2500" w:type="pct"/>
            <w:vAlign w:val="center"/>
          </w:tcPr>
          <w:p w14:paraId="6B878423" w14:textId="796D6F72" w:rsidR="00B62D96" w:rsidRDefault="00B62D96" w:rsidP="00B62D96">
            <w:pPr>
              <w:pStyle w:val="NoSpacing"/>
              <w:jc w:val="left"/>
            </w:pPr>
            <w:r w:rsidRPr="00DA2F4F">
              <w:rPr>
                <w:color w:val="000000"/>
              </w:rPr>
              <w:t>Data visualization software</w:t>
            </w:r>
          </w:p>
        </w:tc>
      </w:tr>
      <w:tr w:rsidR="00B62D96" w14:paraId="1802F56F" w14:textId="77777777" w:rsidTr="00197ACC">
        <w:trPr>
          <w:jc w:val="center"/>
        </w:trPr>
        <w:tc>
          <w:tcPr>
            <w:tcW w:w="2500" w:type="pct"/>
          </w:tcPr>
          <w:p w14:paraId="442F193A" w14:textId="77777777" w:rsidR="00B62D96" w:rsidRDefault="00B62D96" w:rsidP="00B62D96">
            <w:pPr>
              <w:pStyle w:val="NoSpacing"/>
              <w:jc w:val="left"/>
            </w:pPr>
            <w:r>
              <w:t>QualAssure Performance System (QPS)</w:t>
            </w:r>
          </w:p>
        </w:tc>
        <w:tc>
          <w:tcPr>
            <w:tcW w:w="2500" w:type="pct"/>
          </w:tcPr>
          <w:p w14:paraId="5DE79318" w14:textId="77777777" w:rsidR="00B62D96" w:rsidRDefault="00B62D96" w:rsidP="00B62D96">
            <w:pPr>
              <w:pStyle w:val="NoSpacing"/>
              <w:jc w:val="left"/>
            </w:pPr>
            <w:r>
              <w:t>D</w:t>
            </w:r>
            <w:r w:rsidRPr="00784C9F">
              <w:t>ata entry and retrieval application</w:t>
            </w:r>
            <w:r>
              <w:t xml:space="preserve"> for documenting data and outcomes related to provider reviews</w:t>
            </w:r>
          </w:p>
        </w:tc>
      </w:tr>
      <w:tr w:rsidR="00B62D96" w14:paraId="57F4BED2" w14:textId="77777777" w:rsidTr="00197ACC">
        <w:trPr>
          <w:jc w:val="center"/>
        </w:trPr>
        <w:tc>
          <w:tcPr>
            <w:tcW w:w="2500" w:type="pct"/>
          </w:tcPr>
          <w:p w14:paraId="448E6483" w14:textId="77777777" w:rsidR="00B62D96" w:rsidRDefault="00B62D96" w:rsidP="00B62D96">
            <w:pPr>
              <w:pStyle w:val="NoSpacing"/>
              <w:jc w:val="left"/>
            </w:pPr>
            <w:r>
              <w:t>RightFax Utility Software</w:t>
            </w:r>
          </w:p>
        </w:tc>
        <w:tc>
          <w:tcPr>
            <w:tcW w:w="2500" w:type="pct"/>
          </w:tcPr>
          <w:p w14:paraId="25B2D07B" w14:textId="77777777" w:rsidR="00B62D96" w:rsidRDefault="00B62D96" w:rsidP="00B62D96">
            <w:pPr>
              <w:pStyle w:val="NoSpacing"/>
              <w:jc w:val="left"/>
            </w:pPr>
            <w:r>
              <w:t>Fax utility software</w:t>
            </w:r>
          </w:p>
        </w:tc>
      </w:tr>
      <w:tr w:rsidR="00B62D96" w14:paraId="2A50B0AC" w14:textId="77777777" w:rsidTr="00197ACC">
        <w:trPr>
          <w:jc w:val="center"/>
        </w:trPr>
        <w:tc>
          <w:tcPr>
            <w:tcW w:w="2500" w:type="pct"/>
          </w:tcPr>
          <w:p w14:paraId="63496AB5" w14:textId="77777777" w:rsidR="00B62D96" w:rsidRDefault="00B62D96" w:rsidP="00B62D96">
            <w:pPr>
              <w:pStyle w:val="NoSpacing"/>
              <w:jc w:val="left"/>
            </w:pPr>
            <w:r>
              <w:t>Roxio CD/DVD Creator Basic</w:t>
            </w:r>
          </w:p>
        </w:tc>
        <w:tc>
          <w:tcPr>
            <w:tcW w:w="2500" w:type="pct"/>
          </w:tcPr>
          <w:p w14:paraId="128F9B97" w14:textId="77777777" w:rsidR="00B62D96" w:rsidRDefault="00B62D96" w:rsidP="00B62D96">
            <w:pPr>
              <w:pStyle w:val="NoSpacing"/>
              <w:jc w:val="left"/>
            </w:pPr>
            <w:r>
              <w:t>CD/DVD Creator</w:t>
            </w:r>
          </w:p>
        </w:tc>
      </w:tr>
      <w:tr w:rsidR="00B62D96" w14:paraId="0F79986E" w14:textId="77777777" w:rsidTr="00B62D96">
        <w:trPr>
          <w:trHeight w:val="539"/>
          <w:jc w:val="center"/>
        </w:trPr>
        <w:tc>
          <w:tcPr>
            <w:tcW w:w="2500" w:type="pct"/>
            <w:tcBorders>
              <w:bottom w:val="single" w:sz="4" w:space="0" w:color="auto"/>
            </w:tcBorders>
          </w:tcPr>
          <w:p w14:paraId="74966E87" w14:textId="77777777" w:rsidR="00B62D96" w:rsidRDefault="00B62D96" w:rsidP="00B62D96">
            <w:pPr>
              <w:pStyle w:val="NoSpacing"/>
              <w:jc w:val="left"/>
            </w:pPr>
            <w:r>
              <w:t xml:space="preserve">Worker Information System Exchange (WISE) </w:t>
            </w:r>
          </w:p>
        </w:tc>
        <w:tc>
          <w:tcPr>
            <w:tcW w:w="2500" w:type="pct"/>
            <w:tcBorders>
              <w:bottom w:val="single" w:sz="4" w:space="0" w:color="auto"/>
            </w:tcBorders>
          </w:tcPr>
          <w:p w14:paraId="4A1B2C26" w14:textId="77777777" w:rsidR="00B62D96" w:rsidRDefault="00B62D96" w:rsidP="00B62D96">
            <w:pPr>
              <w:pStyle w:val="NoSpacing"/>
              <w:jc w:val="left"/>
            </w:pPr>
            <w:r>
              <w:t xml:space="preserve">Slot database, </w:t>
            </w:r>
            <w:r w:rsidRPr="005B0145">
              <w:t>number of slots filled, released, member info for each slot assigned</w:t>
            </w:r>
            <w:r>
              <w:t>, etc)</w:t>
            </w:r>
            <w:r w:rsidRPr="005B0145">
              <w:t xml:space="preserve">  </w:t>
            </w:r>
          </w:p>
        </w:tc>
      </w:tr>
      <w:tr w:rsidR="00B62D96" w14:paraId="014AF73F" w14:textId="77777777" w:rsidTr="00B62D96">
        <w:trPr>
          <w:jc w:val="center"/>
        </w:trPr>
        <w:tc>
          <w:tcPr>
            <w:tcW w:w="2500" w:type="pct"/>
            <w:tcBorders>
              <w:bottom w:val="single" w:sz="4" w:space="0" w:color="auto"/>
            </w:tcBorders>
          </w:tcPr>
          <w:p w14:paraId="46D979A5" w14:textId="77777777" w:rsidR="00B62D96" w:rsidRDefault="00B62D96" w:rsidP="00B62D96">
            <w:pPr>
              <w:pStyle w:val="NoSpacing"/>
              <w:jc w:val="left"/>
            </w:pPr>
            <w:r>
              <w:t>WinZip</w:t>
            </w:r>
          </w:p>
        </w:tc>
        <w:tc>
          <w:tcPr>
            <w:tcW w:w="2500" w:type="pct"/>
            <w:tcBorders>
              <w:bottom w:val="single" w:sz="4" w:space="0" w:color="auto"/>
            </w:tcBorders>
          </w:tcPr>
          <w:p w14:paraId="201C85EF" w14:textId="77777777" w:rsidR="00B62D96" w:rsidRDefault="00B62D96" w:rsidP="00B62D96">
            <w:pPr>
              <w:pStyle w:val="NoSpacing"/>
              <w:jc w:val="left"/>
            </w:pPr>
            <w:r>
              <w:t xml:space="preserve">Send/receive compress/ encrypted files </w:t>
            </w:r>
          </w:p>
        </w:tc>
      </w:tr>
      <w:bookmarkEnd w:id="0"/>
    </w:tbl>
    <w:p w14:paraId="467DE0BE" w14:textId="77777777" w:rsidR="00EA5B96" w:rsidRDefault="00EA5B96" w:rsidP="00EF6010">
      <w:pPr>
        <w:tabs>
          <w:tab w:val="left" w:pos="720"/>
        </w:tabs>
        <w:jc w:val="center"/>
      </w:pPr>
    </w:p>
    <w:sectPr w:rsidR="00EA5B96" w:rsidSect="006D2B80">
      <w:headerReference w:type="even" r:id="rId7"/>
      <w:headerReference w:type="default" r:id="rId8"/>
      <w:footerReference w:type="even" r:id="rId9"/>
      <w:footerReference w:type="default" r:id="rId10"/>
      <w:headerReference w:type="first" r:id="rId11"/>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1730" w14:textId="77777777" w:rsidR="00EF6010" w:rsidRDefault="00EF6010" w:rsidP="00EF6010">
      <w:r>
        <w:separator/>
      </w:r>
    </w:p>
  </w:endnote>
  <w:endnote w:type="continuationSeparator" w:id="0">
    <w:p w14:paraId="290016CF" w14:textId="77777777" w:rsidR="00EF6010" w:rsidRDefault="00EF6010" w:rsidP="00EF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45C6" w14:textId="77777777" w:rsidR="00894A2C" w:rsidRDefault="00EF601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989FFD" w14:textId="77777777" w:rsidR="00894A2C" w:rsidRDefault="00894A2C">
    <w:pPr>
      <w:pStyle w:val="Footer"/>
    </w:pPr>
  </w:p>
  <w:p w14:paraId="483E6555" w14:textId="77777777" w:rsidR="00894A2C" w:rsidRDefault="00894A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9E63" w14:textId="77777777" w:rsidR="00894A2C" w:rsidRDefault="00894A2C">
    <w:pPr>
      <w:pStyle w:val="Footer"/>
      <w:framePr w:wrap="auto" w:vAnchor="text" w:hAnchor="margin" w:xAlign="center" w:y="1"/>
      <w:rPr>
        <w:rStyle w:val="PageNumber"/>
      </w:rPr>
    </w:pPr>
  </w:p>
  <w:p w14:paraId="69F822EA" w14:textId="77777777" w:rsidR="00894A2C" w:rsidRDefault="00EF6010">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3</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6F605AE0" w14:textId="77777777" w:rsidR="00894A2C" w:rsidRDefault="00894A2C">
    <w:pPr>
      <w:pStyle w:val="Footer"/>
      <w:rPr>
        <w:sz w:val="20"/>
      </w:rPr>
    </w:pPr>
  </w:p>
  <w:p w14:paraId="5E8B247B" w14:textId="77777777" w:rsidR="00894A2C" w:rsidRDefault="00EF6010">
    <w:pPr>
      <w:pStyle w:val="Footer"/>
      <w:tabs>
        <w:tab w:val="clear" w:pos="8640"/>
        <w:tab w:val="left" w:pos="0"/>
        <w:tab w:val="right" w:pos="9360"/>
      </w:tabs>
      <w:rPr>
        <w:sz w:val="16"/>
      </w:rPr>
    </w:pPr>
    <w:r>
      <w:rPr>
        <w:sz w:val="16"/>
      </w:rPr>
      <w:tab/>
    </w:r>
    <w:r>
      <w:rPr>
        <w:sz w:val="16"/>
      </w:rPr>
      <w:tab/>
    </w:r>
  </w:p>
  <w:p w14:paraId="1B036C1C" w14:textId="77777777" w:rsidR="00894A2C" w:rsidRDefault="00894A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D56B" w14:textId="77777777" w:rsidR="00EF6010" w:rsidRDefault="00EF6010" w:rsidP="00EF6010">
      <w:r>
        <w:separator/>
      </w:r>
    </w:p>
  </w:footnote>
  <w:footnote w:type="continuationSeparator" w:id="0">
    <w:p w14:paraId="06B2C0A6" w14:textId="77777777" w:rsidR="00EF6010" w:rsidRDefault="00EF6010" w:rsidP="00EF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1929" w14:textId="77777777" w:rsidR="00894A2C" w:rsidRDefault="00894A2C">
    <w:pPr>
      <w:pStyle w:val="Header"/>
    </w:pPr>
  </w:p>
  <w:p w14:paraId="3FD030F5" w14:textId="77777777" w:rsidR="00894A2C" w:rsidRDefault="00894A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586" w14:textId="0D6E95F9" w:rsidR="00EF6010" w:rsidRDefault="00EF6010" w:rsidP="00EF6010">
    <w:pPr>
      <w:pStyle w:val="Header"/>
      <w:jc w:val="right"/>
      <w:rPr>
        <w:sz w:val="18"/>
        <w:szCs w:val="18"/>
      </w:rPr>
    </w:pPr>
    <w:r>
      <w:rPr>
        <w:sz w:val="18"/>
        <w:szCs w:val="18"/>
      </w:rPr>
      <w:t>MED-18-015</w:t>
    </w:r>
  </w:p>
  <w:p w14:paraId="3EDEAD5A" w14:textId="77777777" w:rsidR="00894A2C" w:rsidRDefault="00894A2C">
    <w:pPr>
      <w:pStyle w:val="Header"/>
      <w:rPr>
        <w:sz w:val="18"/>
        <w:szCs w:val="18"/>
      </w:rPr>
    </w:pPr>
  </w:p>
  <w:p w14:paraId="7FAD293D" w14:textId="77777777" w:rsidR="00894A2C" w:rsidRDefault="00894A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2958" w14:textId="77777777" w:rsidR="00894A2C" w:rsidRDefault="00EF6010">
    <w:pPr>
      <w:pStyle w:val="Header"/>
      <w:jc w:val="right"/>
      <w:rPr>
        <w:sz w:val="18"/>
        <w:szCs w:val="18"/>
      </w:rPr>
    </w:pPr>
    <w:r>
      <w:rPr>
        <w:sz w:val="18"/>
        <w:szCs w:val="18"/>
      </w:rPr>
      <w:t>MED-19-014</w:t>
    </w:r>
  </w:p>
  <w:p w14:paraId="35F9E478" w14:textId="77777777" w:rsidR="00894A2C" w:rsidRDefault="00894A2C">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75A1"/>
    <w:multiLevelType w:val="hybridMultilevel"/>
    <w:tmpl w:val="C6A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572247">
    <w:abstractNumId w:val="2"/>
  </w:num>
  <w:num w:numId="2" w16cid:durableId="645204057">
    <w:abstractNumId w:val="1"/>
  </w:num>
  <w:num w:numId="3" w16cid:durableId="75158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80"/>
    <w:rsid w:val="0003597F"/>
    <w:rsid w:val="000953B7"/>
    <w:rsid w:val="001301AA"/>
    <w:rsid w:val="0017380D"/>
    <w:rsid w:val="00251F20"/>
    <w:rsid w:val="006C06A9"/>
    <w:rsid w:val="006D2B80"/>
    <w:rsid w:val="00866787"/>
    <w:rsid w:val="00894A2C"/>
    <w:rsid w:val="00902F4C"/>
    <w:rsid w:val="00B62D96"/>
    <w:rsid w:val="00D01357"/>
    <w:rsid w:val="00DE3CB5"/>
    <w:rsid w:val="00EA5B96"/>
    <w:rsid w:val="00ED4F39"/>
    <w:rsid w:val="00EF6010"/>
    <w:rsid w:val="00F4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A346"/>
  <w15:chartTrackingRefBased/>
  <w15:docId w15:val="{B6C82E51-03DB-4162-8681-1AA4D929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80"/>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6D2B8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80"/>
    <w:rPr>
      <w:rFonts w:ascii="Times New Roman" w:eastAsia="Times New Roman" w:hAnsi="Times New Roman" w:cs="Times New Roman"/>
      <w:b/>
      <w:szCs w:val="20"/>
    </w:rPr>
  </w:style>
  <w:style w:type="paragraph" w:styleId="Footer">
    <w:name w:val="footer"/>
    <w:basedOn w:val="Normal"/>
    <w:link w:val="FooterChar"/>
    <w:uiPriority w:val="99"/>
    <w:semiHidden/>
    <w:rsid w:val="006D2B80"/>
    <w:pPr>
      <w:tabs>
        <w:tab w:val="center" w:pos="4320"/>
        <w:tab w:val="right" w:pos="8640"/>
      </w:tabs>
    </w:pPr>
    <w:rPr>
      <w:sz w:val="18"/>
    </w:rPr>
  </w:style>
  <w:style w:type="character" w:customStyle="1" w:styleId="FooterChar">
    <w:name w:val="Footer Char"/>
    <w:basedOn w:val="DefaultParagraphFont"/>
    <w:link w:val="Footer"/>
    <w:uiPriority w:val="99"/>
    <w:semiHidden/>
    <w:rsid w:val="006D2B80"/>
    <w:rPr>
      <w:rFonts w:ascii="Times New Roman" w:eastAsia="Times New Roman" w:hAnsi="Times New Roman" w:cs="Times New Roman"/>
      <w:sz w:val="18"/>
      <w:szCs w:val="20"/>
    </w:rPr>
  </w:style>
  <w:style w:type="paragraph" w:styleId="BodyText">
    <w:name w:val="Body Text"/>
    <w:basedOn w:val="Normal"/>
    <w:link w:val="BodyTextChar"/>
    <w:uiPriority w:val="99"/>
    <w:semiHidden/>
    <w:rsid w:val="006D2B80"/>
    <w:rPr>
      <w:b/>
    </w:rPr>
  </w:style>
  <w:style w:type="character" w:customStyle="1" w:styleId="BodyTextChar">
    <w:name w:val="Body Text Char"/>
    <w:basedOn w:val="DefaultParagraphFont"/>
    <w:link w:val="BodyText"/>
    <w:uiPriority w:val="99"/>
    <w:semiHidden/>
    <w:rsid w:val="006D2B80"/>
    <w:rPr>
      <w:rFonts w:ascii="Times New Roman" w:eastAsia="Times New Roman" w:hAnsi="Times New Roman" w:cs="Times New Roman"/>
      <w:b/>
      <w:szCs w:val="20"/>
    </w:rPr>
  </w:style>
  <w:style w:type="paragraph" w:styleId="Header">
    <w:name w:val="header"/>
    <w:basedOn w:val="Normal"/>
    <w:link w:val="HeaderChar"/>
    <w:uiPriority w:val="99"/>
    <w:semiHidden/>
    <w:rsid w:val="006D2B80"/>
    <w:pPr>
      <w:tabs>
        <w:tab w:val="center" w:pos="4320"/>
        <w:tab w:val="right" w:pos="8640"/>
      </w:tabs>
    </w:pPr>
  </w:style>
  <w:style w:type="character" w:customStyle="1" w:styleId="HeaderChar">
    <w:name w:val="Header Char"/>
    <w:basedOn w:val="DefaultParagraphFont"/>
    <w:link w:val="Header"/>
    <w:uiPriority w:val="99"/>
    <w:semiHidden/>
    <w:rsid w:val="006D2B80"/>
    <w:rPr>
      <w:rFonts w:ascii="Times New Roman" w:eastAsia="Times New Roman" w:hAnsi="Times New Roman" w:cs="Times New Roman"/>
      <w:szCs w:val="20"/>
    </w:rPr>
  </w:style>
  <w:style w:type="character" w:styleId="PageNumber">
    <w:name w:val="page number"/>
    <w:basedOn w:val="DefaultParagraphFont"/>
    <w:uiPriority w:val="99"/>
    <w:semiHidden/>
    <w:rsid w:val="006D2B80"/>
    <w:rPr>
      <w:rFonts w:cs="Times New Roman"/>
    </w:rPr>
  </w:style>
  <w:style w:type="paragraph" w:styleId="NoSpacing">
    <w:name w:val="No Spacing"/>
    <w:link w:val="NoSpacingChar"/>
    <w:uiPriority w:val="1"/>
    <w:qFormat/>
    <w:rsid w:val="006D2B80"/>
    <w:pPr>
      <w:spacing w:after="0" w:line="240" w:lineRule="auto"/>
      <w:jc w:val="both"/>
    </w:pPr>
    <w:rPr>
      <w:rFonts w:ascii="Times New Roman" w:eastAsia="Times New Roman" w:hAnsi="Times New Roman" w:cs="Times New Roman"/>
    </w:rPr>
  </w:style>
  <w:style w:type="table" w:styleId="TableGrid">
    <w:name w:val="Table Grid"/>
    <w:aliases w:val="Table IVV,Table Grid 3 column"/>
    <w:basedOn w:val="TableNormal"/>
    <w:uiPriority w:val="59"/>
    <w:rsid w:val="006D2B8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6D2B8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02F4C"/>
    <w:rPr>
      <w:sz w:val="16"/>
      <w:szCs w:val="16"/>
    </w:rPr>
  </w:style>
  <w:style w:type="paragraph" w:styleId="CommentText">
    <w:name w:val="annotation text"/>
    <w:basedOn w:val="Normal"/>
    <w:link w:val="CommentTextChar"/>
    <w:uiPriority w:val="99"/>
    <w:unhideWhenUsed/>
    <w:rsid w:val="00902F4C"/>
    <w:rPr>
      <w:sz w:val="20"/>
    </w:rPr>
  </w:style>
  <w:style w:type="character" w:customStyle="1" w:styleId="CommentTextChar">
    <w:name w:val="Comment Text Char"/>
    <w:basedOn w:val="DefaultParagraphFont"/>
    <w:link w:val="CommentText"/>
    <w:uiPriority w:val="99"/>
    <w:rsid w:val="00902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F4C"/>
    <w:rPr>
      <w:b/>
      <w:bCs/>
    </w:rPr>
  </w:style>
  <w:style w:type="character" w:customStyle="1" w:styleId="CommentSubjectChar">
    <w:name w:val="Comment Subject Char"/>
    <w:basedOn w:val="CommentTextChar"/>
    <w:link w:val="CommentSubject"/>
    <w:uiPriority w:val="99"/>
    <w:semiHidden/>
    <w:rsid w:val="00902F4C"/>
    <w:rPr>
      <w:rFonts w:ascii="Times New Roman" w:eastAsia="Times New Roman" w:hAnsi="Times New Roman" w:cs="Times New Roman"/>
      <w:b/>
      <w:bCs/>
      <w:sz w:val="20"/>
      <w:szCs w:val="20"/>
    </w:rPr>
  </w:style>
  <w:style w:type="paragraph" w:customStyle="1" w:styleId="H1">
    <w:name w:val="H1"/>
    <w:basedOn w:val="Heading1"/>
    <w:next w:val="Heading1"/>
    <w:link w:val="H1Char"/>
    <w:autoRedefine/>
    <w:rsid w:val="00251F20"/>
    <w:pPr>
      <w:keepLines/>
      <w:shd w:val="clear" w:color="auto" w:fill="FFFFFF"/>
      <w:overflowPunct/>
      <w:autoSpaceDE/>
      <w:autoSpaceDN/>
      <w:adjustRightInd/>
      <w:spacing w:after="120" w:line="264" w:lineRule="auto"/>
      <w:textAlignment w:val="auto"/>
    </w:pPr>
    <w:rPr>
      <w:rFonts w:ascii="Gill Sans MT" w:eastAsiaTheme="majorEastAsia" w:hAnsi="Gill Sans MT" w:cs="Helvetica"/>
      <w:b w:val="0"/>
      <w:color w:val="1C365F"/>
      <w:sz w:val="48"/>
      <w:szCs w:val="48"/>
    </w:rPr>
  </w:style>
  <w:style w:type="character" w:customStyle="1" w:styleId="H1Char">
    <w:name w:val="H1 Char"/>
    <w:basedOn w:val="Heading1Char"/>
    <w:link w:val="H1"/>
    <w:rsid w:val="00251F20"/>
    <w:rPr>
      <w:rFonts w:ascii="Gill Sans MT" w:eastAsiaTheme="majorEastAsia" w:hAnsi="Gill Sans MT" w:cs="Helvetica"/>
      <w:b w:val="0"/>
      <w:color w:val="1C365F"/>
      <w:sz w:val="48"/>
      <w:szCs w:val="48"/>
      <w:shd w:val="clear" w:color="auto" w:fill="FFFFFF"/>
    </w:rPr>
  </w:style>
  <w:style w:type="paragraph" w:styleId="ListParagraph">
    <w:name w:val="List Paragraph"/>
    <w:basedOn w:val="Normal"/>
    <w:uiPriority w:val="34"/>
    <w:qFormat/>
    <w:rsid w:val="00251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Oestreich, Kera</dc:creator>
  <cp:keywords/>
  <dc:description/>
  <cp:lastModifiedBy>Haney, Dennis</cp:lastModifiedBy>
  <cp:revision>9</cp:revision>
  <dcterms:created xsi:type="dcterms:W3CDTF">2023-08-31T20:53:00Z</dcterms:created>
  <dcterms:modified xsi:type="dcterms:W3CDTF">2023-11-01T14:55:00Z</dcterms:modified>
</cp:coreProperties>
</file>