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562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First Amendment to the Juvenile Court Services</w:t>
      </w:r>
    </w:p>
    <w:p w:rsidR="00000000" w:rsidRDefault="0013562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Day Treatment Request for Proposal</w:t>
      </w:r>
    </w:p>
    <w:p w:rsidR="00000000" w:rsidRDefault="0013562A">
      <w:pPr>
        <w:keepNext/>
        <w:keepLines/>
        <w:rPr>
          <w:sz w:val="24"/>
          <w:szCs w:val="24"/>
        </w:rPr>
      </w:pPr>
    </w:p>
    <w:p w:rsidR="00000000" w:rsidRDefault="0013562A">
      <w:pPr>
        <w:rPr>
          <w:sz w:val="24"/>
          <w:szCs w:val="24"/>
        </w:rPr>
      </w:pPr>
      <w:r>
        <w:rPr>
          <w:sz w:val="24"/>
          <w:szCs w:val="24"/>
        </w:rPr>
        <w:t>This Amendment to RFP Number JUV-20-SCT-7-002 is effective as of April 8, 2019.  The RFP is amended as follows:</w:t>
      </w:r>
    </w:p>
    <w:p w:rsidR="00000000" w:rsidRDefault="0013562A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:rsidR="00000000" w:rsidRDefault="0013562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Section 4.3, Proposal Scoring and Evaluation Criteria, is hereby amended as follows:</w:t>
      </w:r>
    </w:p>
    <w:p w:rsidR="0013562A" w:rsidRDefault="0013562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13562A" w:rsidRDefault="0013562A" w:rsidP="0013562A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 w:rsidRPr="0013562A">
        <w:rPr>
          <w:rFonts w:eastAsiaTheme="minorEastAsia"/>
          <w:b/>
          <w:bCs/>
          <w:sz w:val="24"/>
          <w:szCs w:val="24"/>
        </w:rPr>
        <w:t>Technical Proposal Components</w:t>
      </w:r>
      <w:r w:rsidRPr="0013562A">
        <w:rPr>
          <w:rFonts w:eastAsiaTheme="minorEastAsia"/>
          <w:b/>
          <w:bCs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ab/>
      </w:r>
      <w:r w:rsidRPr="0013562A">
        <w:rPr>
          <w:rFonts w:eastAsiaTheme="minorEastAsia"/>
          <w:b/>
          <w:bCs/>
          <w:sz w:val="24"/>
          <w:szCs w:val="24"/>
        </w:rPr>
        <w:t>Weight</w:t>
      </w:r>
      <w:r w:rsidRPr="0013562A">
        <w:rPr>
          <w:rFonts w:eastAsiaTheme="minorEastAsia"/>
          <w:b/>
          <w:bCs/>
          <w:sz w:val="24"/>
          <w:szCs w:val="24"/>
        </w:rPr>
        <w:tab/>
        <w:t>Score (0-4)</w:t>
      </w:r>
      <w:r w:rsidRPr="0013562A">
        <w:rPr>
          <w:rFonts w:eastAsiaTheme="minorEastAsia"/>
          <w:b/>
          <w:bCs/>
          <w:sz w:val="24"/>
          <w:szCs w:val="24"/>
        </w:rPr>
        <w:tab/>
        <w:t xml:space="preserve">Potential Maximum </w:t>
      </w:r>
      <w:r>
        <w:rPr>
          <w:rFonts w:eastAsiaTheme="minorEastAsia"/>
          <w:bCs/>
          <w:sz w:val="24"/>
          <w:szCs w:val="24"/>
        </w:rPr>
        <w:br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 w:rsidRPr="0013562A">
        <w:rPr>
          <w:rFonts w:eastAsiaTheme="minorEastAsia"/>
          <w:b/>
          <w:bCs/>
          <w:sz w:val="24"/>
          <w:szCs w:val="24"/>
        </w:rPr>
        <w:t>Points</w:t>
      </w:r>
    </w:p>
    <w:p w:rsidR="0013562A" w:rsidRDefault="0013562A" w:rsidP="0013562A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Approach to Meeting Deliverables (1.3.1)</w:t>
      </w:r>
      <w:r>
        <w:rPr>
          <w:rFonts w:eastAsiaTheme="minorEastAsia"/>
          <w:bCs/>
          <w:sz w:val="24"/>
          <w:szCs w:val="24"/>
        </w:rPr>
        <w:tab/>
        <w:t>50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  <w:t xml:space="preserve">      ---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200</w:t>
      </w:r>
      <w:r>
        <w:rPr>
          <w:rFonts w:eastAsiaTheme="minorEastAsia"/>
          <w:bCs/>
          <w:sz w:val="24"/>
          <w:szCs w:val="24"/>
        </w:rPr>
        <w:tab/>
      </w:r>
    </w:p>
    <w:p w:rsidR="00000000" w:rsidRDefault="0013562A" w:rsidP="0013562A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Corporate Organization (3.</w:t>
      </w:r>
      <w:r>
        <w:rPr>
          <w:rFonts w:eastAsiaTheme="minorEastAsia"/>
          <w:bCs/>
          <w:sz w:val="24"/>
          <w:szCs w:val="24"/>
        </w:rPr>
        <w:t>2.5.2.1)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30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  <w:t xml:space="preserve">      ---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120</w:t>
      </w:r>
      <w:r>
        <w:rPr>
          <w:rFonts w:eastAsiaTheme="minorEastAsia"/>
          <w:bCs/>
          <w:sz w:val="24"/>
          <w:szCs w:val="24"/>
        </w:rPr>
        <w:br/>
        <w:t>Corporate Experience (3.2.5.1)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30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  <w:t xml:space="preserve">      ---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120</w:t>
      </w:r>
      <w:r>
        <w:rPr>
          <w:rFonts w:eastAsiaTheme="minorEastAsia"/>
          <w:bCs/>
          <w:sz w:val="24"/>
          <w:szCs w:val="24"/>
        </w:rPr>
        <w:br/>
        <w:t>Financial Statements (3.2.5.3)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30</w:t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  <w:t xml:space="preserve">      ---</w:t>
      </w:r>
      <w:bookmarkStart w:id="0" w:name="_GoBack"/>
      <w:bookmarkEnd w:id="0"/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ab/>
      </w:r>
      <w:r>
        <w:rPr>
          <w:rFonts w:eastAsiaTheme="minorEastAsia"/>
          <w:bCs/>
          <w:sz w:val="24"/>
          <w:szCs w:val="24"/>
        </w:rPr>
        <w:t>120</w:t>
      </w:r>
      <w:r>
        <w:rPr>
          <w:rFonts w:eastAsiaTheme="minorEastAsia"/>
          <w:bCs/>
          <w:sz w:val="24"/>
          <w:szCs w:val="24"/>
        </w:rPr>
        <w:br/>
      </w:r>
    </w:p>
    <w:p w:rsidR="00000000" w:rsidRDefault="0013562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000000" w:rsidRDefault="0013562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000000" w:rsidRDefault="0013562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000000" w:rsidRDefault="0013562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562A">
      <w:r>
        <w:separator/>
      </w:r>
    </w:p>
    <w:p w:rsidR="00000000" w:rsidRDefault="0013562A"/>
  </w:endnote>
  <w:endnote w:type="continuationSeparator" w:id="0">
    <w:p w:rsidR="00000000" w:rsidRDefault="0013562A">
      <w:r>
        <w:continuationSeparator/>
      </w:r>
    </w:p>
    <w:p w:rsidR="00000000" w:rsidRDefault="00135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562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13562A">
    <w:pPr>
      <w:pStyle w:val="Footer"/>
    </w:pPr>
  </w:p>
  <w:p w:rsidR="00000000" w:rsidRDefault="001356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562A">
    <w:pPr>
      <w:pStyle w:val="Footer"/>
      <w:framePr w:wrap="auto" w:vAnchor="text" w:hAnchor="margin" w:xAlign="center" w:y="1"/>
      <w:rPr>
        <w:rStyle w:val="PageNumber"/>
      </w:rPr>
    </w:pPr>
  </w:p>
  <w:p w:rsidR="00000000" w:rsidRDefault="0013562A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</w:p>
  <w:p w:rsidR="00000000" w:rsidRDefault="0013562A">
    <w:pPr>
      <w:pStyle w:val="Footer"/>
      <w:rPr>
        <w:sz w:val="20"/>
      </w:rPr>
    </w:pPr>
  </w:p>
  <w:p w:rsidR="00000000" w:rsidRDefault="0013562A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000000" w:rsidRDefault="001356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5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562A">
      <w:r>
        <w:separator/>
      </w:r>
    </w:p>
    <w:p w:rsidR="00000000" w:rsidRDefault="0013562A"/>
  </w:footnote>
  <w:footnote w:type="continuationSeparator" w:id="0">
    <w:p w:rsidR="00000000" w:rsidRDefault="0013562A">
      <w:r>
        <w:continuationSeparator/>
      </w:r>
    </w:p>
    <w:p w:rsidR="00000000" w:rsidRDefault="00135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562A">
    <w:pPr>
      <w:pStyle w:val="Header"/>
    </w:pPr>
  </w:p>
  <w:p w:rsidR="00000000" w:rsidRDefault="001356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562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JUV-20-SCT-7-002</w:t>
    </w:r>
  </w:p>
  <w:p w:rsidR="00000000" w:rsidRDefault="0013562A">
    <w:pPr>
      <w:pStyle w:val="Header"/>
      <w:rPr>
        <w:sz w:val="18"/>
        <w:szCs w:val="18"/>
      </w:rPr>
    </w:pPr>
  </w:p>
  <w:p w:rsidR="00000000" w:rsidRDefault="001356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562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:rsidR="00000000" w:rsidRDefault="0013562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E682E2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7EC850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E5A22B7C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E7CE5D0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94E2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C21A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D776456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2A"/>
    <w:rsid w:val="001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57C48"/>
  <w14:defaultImageDpi w14:val="0"/>
  <w15:docId w15:val="{CA9F66CB-5410-4019-A211-7C97FDC8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or RFP Amendment Template 3.17</vt:lpstr>
    </vt:vector>
  </TitlesOfParts>
  <Company>State of Iowa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or RFP Amendment Template 3.17</dc:title>
  <dc:subject/>
  <dc:creator>Shaw, Julie</dc:creator>
  <cp:keywords/>
  <dc:description/>
  <cp:lastModifiedBy>Murphy, Connie [JB]</cp:lastModifiedBy>
  <cp:revision>2</cp:revision>
  <cp:lastPrinted>2017-03-16T19:18:00Z</cp:lastPrinted>
  <dcterms:created xsi:type="dcterms:W3CDTF">2019-04-08T18:04:00Z</dcterms:created>
  <dcterms:modified xsi:type="dcterms:W3CDTF">2019-04-08T18:04:00Z</dcterms:modified>
</cp:coreProperties>
</file>