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D0D" w:rsidRPr="005E4D65" w:rsidRDefault="00CF225E" w:rsidP="00CF225E">
      <w:pPr>
        <w:jc w:val="center"/>
        <w:rPr>
          <w:rFonts w:ascii="Times New Roman" w:hAnsi="Times New Roman" w:cs="Times New Roman"/>
          <w:b/>
          <w:sz w:val="28"/>
          <w:szCs w:val="28"/>
        </w:rPr>
      </w:pPr>
      <w:r w:rsidRPr="005E4D65">
        <w:rPr>
          <w:rFonts w:ascii="Times New Roman" w:hAnsi="Times New Roman" w:cs="Times New Roman"/>
          <w:b/>
          <w:sz w:val="28"/>
          <w:szCs w:val="28"/>
        </w:rPr>
        <w:t>DCAT5-22-001</w:t>
      </w:r>
    </w:p>
    <w:p w:rsidR="00CF225E" w:rsidRPr="005E4D65" w:rsidRDefault="00CF225E" w:rsidP="00CF225E">
      <w:pPr>
        <w:pStyle w:val="Header"/>
        <w:tabs>
          <w:tab w:val="left" w:pos="720"/>
        </w:tabs>
        <w:jc w:val="center"/>
        <w:rPr>
          <w:b/>
          <w:sz w:val="28"/>
          <w:szCs w:val="28"/>
        </w:rPr>
      </w:pPr>
      <w:r w:rsidRPr="005E4D65">
        <w:rPr>
          <w:b/>
          <w:sz w:val="28"/>
          <w:szCs w:val="28"/>
        </w:rPr>
        <w:t>Juvenile Sex Offender Community Based Treatment Services</w:t>
      </w:r>
    </w:p>
    <w:p w:rsidR="00CF225E" w:rsidRPr="005E4D65" w:rsidRDefault="00CF225E" w:rsidP="00CF225E">
      <w:pPr>
        <w:pStyle w:val="Header"/>
        <w:tabs>
          <w:tab w:val="left" w:pos="720"/>
        </w:tabs>
        <w:jc w:val="center"/>
        <w:rPr>
          <w:b/>
          <w:sz w:val="28"/>
          <w:szCs w:val="28"/>
        </w:rPr>
      </w:pPr>
    </w:p>
    <w:p w:rsidR="00CF225E" w:rsidRDefault="00CF225E" w:rsidP="00CF225E">
      <w:pPr>
        <w:pStyle w:val="Header"/>
        <w:tabs>
          <w:tab w:val="left" w:pos="720"/>
        </w:tabs>
        <w:jc w:val="center"/>
        <w:rPr>
          <w:b/>
          <w:sz w:val="28"/>
          <w:szCs w:val="28"/>
        </w:rPr>
      </w:pPr>
      <w:r w:rsidRPr="005E4D65">
        <w:rPr>
          <w:b/>
          <w:sz w:val="28"/>
          <w:szCs w:val="28"/>
        </w:rPr>
        <w:t>Bidder Questions and Answers</w:t>
      </w:r>
    </w:p>
    <w:p w:rsidR="00F239AB" w:rsidRDefault="00F239AB" w:rsidP="00CF225E">
      <w:pPr>
        <w:pStyle w:val="Header"/>
        <w:tabs>
          <w:tab w:val="left" w:pos="720"/>
        </w:tabs>
        <w:jc w:val="center"/>
        <w:rPr>
          <w:b/>
          <w:sz w:val="28"/>
          <w:szCs w:val="28"/>
        </w:rPr>
      </w:pPr>
    </w:p>
    <w:p w:rsidR="00F239AB" w:rsidRPr="00F239AB" w:rsidRDefault="00F239AB" w:rsidP="00F239AB">
      <w:pPr>
        <w:pStyle w:val="Header"/>
        <w:tabs>
          <w:tab w:val="left" w:pos="720"/>
        </w:tabs>
        <w:jc w:val="left"/>
        <w:rPr>
          <w:b/>
          <w:sz w:val="28"/>
          <w:szCs w:val="28"/>
          <w:u w:val="single"/>
        </w:rPr>
      </w:pPr>
      <w:r w:rsidRPr="00F239AB">
        <w:rPr>
          <w:b/>
          <w:sz w:val="28"/>
          <w:szCs w:val="28"/>
          <w:u w:val="single"/>
        </w:rPr>
        <w:t>Written Questions Submitted</w:t>
      </w:r>
    </w:p>
    <w:p w:rsidR="00CF225E" w:rsidRPr="005E4D65" w:rsidRDefault="00CF225E" w:rsidP="00CF225E">
      <w:pPr>
        <w:pStyle w:val="Header"/>
        <w:tabs>
          <w:tab w:val="left" w:pos="720"/>
        </w:tabs>
        <w:jc w:val="left"/>
      </w:pPr>
    </w:p>
    <w:p w:rsidR="00CF225E" w:rsidRPr="005E4D65" w:rsidRDefault="00CF225E" w:rsidP="00CF225E">
      <w:pPr>
        <w:pStyle w:val="ListParagraph"/>
        <w:numPr>
          <w:ilvl w:val="0"/>
          <w:numId w:val="1"/>
        </w:numPr>
        <w:rPr>
          <w:rFonts w:ascii="Times New Roman" w:hAnsi="Times New Roman" w:cs="Times New Roman"/>
        </w:rPr>
      </w:pPr>
      <w:r w:rsidRPr="005E4D65">
        <w:rPr>
          <w:rFonts w:ascii="Times New Roman" w:hAnsi="Times New Roman" w:cs="Times New Roman"/>
        </w:rPr>
        <w:t>Q. Polygraph testing: Can we sub-contract this service?</w:t>
      </w:r>
    </w:p>
    <w:p w:rsidR="00CF225E" w:rsidRPr="005E4D65" w:rsidRDefault="005E4D65" w:rsidP="00A47867">
      <w:pPr>
        <w:pStyle w:val="ListParagraph"/>
        <w:numPr>
          <w:ilvl w:val="0"/>
          <w:numId w:val="3"/>
        </w:numPr>
        <w:rPr>
          <w:rFonts w:ascii="Times New Roman" w:hAnsi="Times New Roman" w:cs="Times New Roman"/>
        </w:rPr>
      </w:pPr>
      <w:r w:rsidRPr="005E4D65">
        <w:rPr>
          <w:rFonts w:ascii="Times New Roman" w:hAnsi="Times New Roman" w:cs="Times New Roman"/>
        </w:rPr>
        <w:t>Yes.  Please refer to Section 2.32</w:t>
      </w:r>
      <w:r>
        <w:rPr>
          <w:rFonts w:ascii="Times New Roman" w:hAnsi="Times New Roman" w:cs="Times New Roman"/>
        </w:rPr>
        <w:t>, page 15,</w:t>
      </w:r>
      <w:r w:rsidRPr="005E4D65">
        <w:rPr>
          <w:rFonts w:ascii="Times New Roman" w:hAnsi="Times New Roman" w:cs="Times New Roman"/>
        </w:rPr>
        <w:t xml:space="preserve"> of the RFP where it states, “</w:t>
      </w:r>
      <w:r w:rsidRPr="005E4D65">
        <w:rPr>
          <w:rFonts w:ascii="Times New Roman" w:eastAsia="Times New Roman" w:hAnsi="Times New Roman" w:cs="Times New Roman"/>
        </w:rPr>
        <w:t>The Agency acknowledges that the selected Bidder may contract with third parties for the performance of any of the Contractor’s obligations.  The Agency reserves the right to provide prior approval for any subcontractor used to perform services under any contract that may result from this RFP.</w:t>
      </w:r>
      <w:r>
        <w:rPr>
          <w:rFonts w:ascii="Times New Roman" w:eastAsia="Times New Roman" w:hAnsi="Times New Roman" w:cs="Times New Roman"/>
        </w:rPr>
        <w:t xml:space="preserve">”  Also, the Subcontractor Disclosure Form, Attachment C on pages 29 and 30, </w:t>
      </w:r>
      <w:r w:rsidR="00E7530E">
        <w:rPr>
          <w:rFonts w:ascii="Times New Roman" w:eastAsia="Times New Roman" w:hAnsi="Times New Roman" w:cs="Times New Roman"/>
        </w:rPr>
        <w:t>should</w:t>
      </w:r>
      <w:r>
        <w:rPr>
          <w:rFonts w:ascii="Times New Roman" w:eastAsia="Times New Roman" w:hAnsi="Times New Roman" w:cs="Times New Roman"/>
        </w:rPr>
        <w:t xml:space="preserve"> be completed and submitted with your bid</w:t>
      </w:r>
      <w:r w:rsidR="00E7530E">
        <w:rPr>
          <w:rFonts w:ascii="Times New Roman" w:eastAsia="Times New Roman" w:hAnsi="Times New Roman" w:cs="Times New Roman"/>
        </w:rPr>
        <w:t xml:space="preserve"> if you plan to use subcontractors for any of the services that are part of the Scope of Work of this RFP.</w:t>
      </w:r>
    </w:p>
    <w:p w:rsidR="005E4D65" w:rsidRPr="005E4D65" w:rsidRDefault="005E4D65" w:rsidP="005E4D65">
      <w:pPr>
        <w:pStyle w:val="ListParagraph"/>
        <w:ind w:left="1080"/>
        <w:rPr>
          <w:rFonts w:ascii="Times New Roman" w:hAnsi="Times New Roman" w:cs="Times New Roman"/>
        </w:rPr>
      </w:pPr>
    </w:p>
    <w:p w:rsidR="00CF225E" w:rsidRDefault="00CF225E" w:rsidP="00CF225E">
      <w:pPr>
        <w:pStyle w:val="ListParagraph"/>
        <w:numPr>
          <w:ilvl w:val="0"/>
          <w:numId w:val="1"/>
        </w:numPr>
        <w:rPr>
          <w:rFonts w:ascii="Times New Roman" w:hAnsi="Times New Roman" w:cs="Times New Roman"/>
        </w:rPr>
      </w:pPr>
      <w:r w:rsidRPr="005E4D65">
        <w:rPr>
          <w:rFonts w:ascii="Times New Roman" w:hAnsi="Times New Roman" w:cs="Times New Roman"/>
        </w:rPr>
        <w:t>Q. GPS Tracking: Would LSI have to supply monitors or would that be provided by DHS/State?</w:t>
      </w:r>
    </w:p>
    <w:p w:rsidR="00CF225E" w:rsidRDefault="005E4D65" w:rsidP="00A963CD">
      <w:pPr>
        <w:pStyle w:val="ListParagraph"/>
        <w:numPr>
          <w:ilvl w:val="0"/>
          <w:numId w:val="4"/>
        </w:numPr>
        <w:rPr>
          <w:rFonts w:ascii="Times New Roman" w:hAnsi="Times New Roman" w:cs="Times New Roman"/>
        </w:rPr>
      </w:pPr>
      <w:r w:rsidRPr="005E4D65">
        <w:rPr>
          <w:rFonts w:ascii="Times New Roman" w:hAnsi="Times New Roman" w:cs="Times New Roman"/>
        </w:rPr>
        <w:t>GPS monitoring and tracking is part of the Scope of Work and, therefore, a required part of the Contractor’s provision of services.  Bidders will need to consider this cost in their budget estimates.</w:t>
      </w:r>
    </w:p>
    <w:p w:rsidR="005E4D65" w:rsidRPr="005E4D65" w:rsidRDefault="005E4D65" w:rsidP="005E4D65">
      <w:pPr>
        <w:pStyle w:val="ListParagraph"/>
        <w:ind w:left="1080"/>
        <w:rPr>
          <w:rFonts w:ascii="Times New Roman" w:hAnsi="Times New Roman" w:cs="Times New Roman"/>
        </w:rPr>
      </w:pPr>
    </w:p>
    <w:p w:rsidR="00CF225E" w:rsidRDefault="00CF225E" w:rsidP="00CF225E">
      <w:pPr>
        <w:pStyle w:val="ListParagraph"/>
        <w:numPr>
          <w:ilvl w:val="0"/>
          <w:numId w:val="1"/>
        </w:numPr>
        <w:rPr>
          <w:rFonts w:ascii="Times New Roman" w:hAnsi="Times New Roman" w:cs="Times New Roman"/>
        </w:rPr>
      </w:pPr>
      <w:r w:rsidRPr="005E4D65">
        <w:rPr>
          <w:rFonts w:ascii="Times New Roman" w:hAnsi="Times New Roman" w:cs="Times New Roman"/>
        </w:rPr>
        <w:t xml:space="preserve">Q. What training is required? </w:t>
      </w:r>
    </w:p>
    <w:p w:rsidR="00966554" w:rsidRPr="00966554" w:rsidRDefault="00966554" w:rsidP="00966554">
      <w:pPr>
        <w:pStyle w:val="ListParagraph"/>
        <w:numPr>
          <w:ilvl w:val="0"/>
          <w:numId w:val="5"/>
        </w:numPr>
        <w:rPr>
          <w:rFonts w:ascii="Times New Roman" w:hAnsi="Times New Roman" w:cs="Times New Roman"/>
        </w:rPr>
      </w:pPr>
      <w:r>
        <w:rPr>
          <w:rFonts w:ascii="Times New Roman" w:hAnsi="Times New Roman" w:cs="Times New Roman"/>
        </w:rPr>
        <w:t xml:space="preserve">The RFP Scope of Work, </w:t>
      </w:r>
      <w:r w:rsidR="002B3AE3">
        <w:rPr>
          <w:rFonts w:ascii="Times New Roman" w:hAnsi="Times New Roman" w:cs="Times New Roman"/>
        </w:rPr>
        <w:t xml:space="preserve">Deliverable </w:t>
      </w:r>
      <w:r>
        <w:rPr>
          <w:rFonts w:ascii="Times New Roman" w:hAnsi="Times New Roman" w:cs="Times New Roman"/>
        </w:rPr>
        <w:t>number 11, page 7, states, “</w:t>
      </w:r>
      <w:r w:rsidRPr="00966554">
        <w:rPr>
          <w:rFonts w:ascii="Times New Roman" w:eastAsia="Times New Roman" w:hAnsi="Times New Roman" w:cs="Times New Roman"/>
        </w:rPr>
        <w:t>Ensure that staff is qualified to provide case staffings and services to the target population, are experienced and knowledgeable in Sex Offender treatment, and are certified by the appropriate associations, such as Association for the Treatment of Sexual Abusers (ATSA), or Iowa Board for the Treatment of Sexual Abusers (IBTSA).  Acceptable certifications can include one of the Sex Offender Treatme</w:t>
      </w:r>
      <w:r>
        <w:rPr>
          <w:rFonts w:ascii="Times New Roman" w:eastAsia="Times New Roman" w:hAnsi="Times New Roman" w:cs="Times New Roman"/>
        </w:rPr>
        <w:t>nt Professional (SOTP) levels.”  Trainings for the certifications can be found at the respective association websites:</w:t>
      </w:r>
    </w:p>
    <w:p w:rsidR="00966554" w:rsidRDefault="00966554" w:rsidP="00966554">
      <w:pPr>
        <w:pStyle w:val="ListParagraph"/>
        <w:ind w:left="1080"/>
        <w:rPr>
          <w:rFonts w:ascii="Times New Roman" w:eastAsia="Times New Roman" w:hAnsi="Times New Roman" w:cs="Times New Roman"/>
        </w:rPr>
      </w:pPr>
      <w:r>
        <w:rPr>
          <w:rFonts w:ascii="Times New Roman" w:eastAsia="Times New Roman" w:hAnsi="Times New Roman" w:cs="Times New Roman"/>
        </w:rPr>
        <w:t xml:space="preserve">ATSA - </w:t>
      </w:r>
      <w:hyperlink r:id="rId7" w:history="1">
        <w:r w:rsidRPr="00022314">
          <w:rPr>
            <w:rStyle w:val="Hyperlink"/>
            <w:rFonts w:ascii="Times New Roman" w:eastAsia="Times New Roman" w:hAnsi="Times New Roman" w:cs="Times New Roman"/>
          </w:rPr>
          <w:t>https://www.atsa.com/</w:t>
        </w:r>
      </w:hyperlink>
    </w:p>
    <w:p w:rsidR="00966554" w:rsidRDefault="00966554" w:rsidP="00966554">
      <w:pPr>
        <w:pStyle w:val="ListParagraph"/>
        <w:ind w:left="1080"/>
        <w:rPr>
          <w:rFonts w:ascii="Times New Roman" w:hAnsi="Times New Roman" w:cs="Times New Roman"/>
        </w:rPr>
      </w:pPr>
      <w:r>
        <w:rPr>
          <w:rFonts w:ascii="Times New Roman" w:eastAsia="Times New Roman" w:hAnsi="Times New Roman" w:cs="Times New Roman"/>
        </w:rPr>
        <w:t>IBTSA -</w:t>
      </w:r>
      <w:r>
        <w:rPr>
          <w:rFonts w:ascii="Times New Roman" w:hAnsi="Times New Roman" w:cs="Times New Roman"/>
        </w:rPr>
        <w:t xml:space="preserve"> </w:t>
      </w:r>
      <w:hyperlink r:id="rId8" w:history="1">
        <w:r w:rsidRPr="00022314">
          <w:rPr>
            <w:rStyle w:val="Hyperlink"/>
            <w:rFonts w:ascii="Times New Roman" w:hAnsi="Times New Roman" w:cs="Times New Roman"/>
          </w:rPr>
          <w:t>http://www.ibtsa.com/</w:t>
        </w:r>
      </w:hyperlink>
    </w:p>
    <w:p w:rsidR="00966554" w:rsidRDefault="002B3AE3" w:rsidP="002B3AE3">
      <w:pPr>
        <w:pStyle w:val="ListParagraph"/>
        <w:ind w:left="1080"/>
        <w:rPr>
          <w:rFonts w:ascii="Times New Roman" w:hAnsi="Times New Roman" w:cs="Times New Roman"/>
        </w:rPr>
      </w:pPr>
      <w:r>
        <w:rPr>
          <w:rFonts w:ascii="Times New Roman" w:hAnsi="Times New Roman" w:cs="Times New Roman"/>
        </w:rPr>
        <w:t xml:space="preserve">The SOTP certification trainings are </w:t>
      </w:r>
      <w:r w:rsidR="00E7530E">
        <w:rPr>
          <w:rFonts w:ascii="Times New Roman" w:hAnsi="Times New Roman" w:cs="Times New Roman"/>
        </w:rPr>
        <w:t xml:space="preserve">also </w:t>
      </w:r>
      <w:r>
        <w:rPr>
          <w:rFonts w:ascii="Times New Roman" w:hAnsi="Times New Roman" w:cs="Times New Roman"/>
        </w:rPr>
        <w:t xml:space="preserve">offered through other organizations that can be found by searching the internet.  </w:t>
      </w:r>
    </w:p>
    <w:p w:rsidR="00A428FE" w:rsidRDefault="00A428FE" w:rsidP="002B3AE3">
      <w:pPr>
        <w:pStyle w:val="ListParagraph"/>
        <w:ind w:left="1080"/>
        <w:rPr>
          <w:rFonts w:ascii="Times New Roman" w:hAnsi="Times New Roman" w:cs="Times New Roman"/>
        </w:rPr>
      </w:pPr>
      <w:r>
        <w:rPr>
          <w:rFonts w:ascii="Times New Roman" w:hAnsi="Times New Roman" w:cs="Times New Roman"/>
        </w:rPr>
        <w:t xml:space="preserve">Certification in the  </w:t>
      </w:r>
      <w:r w:rsidRPr="00A428FE">
        <w:rPr>
          <w:rFonts w:ascii="Times New Roman" w:hAnsi="Times New Roman" w:cs="Times New Roman"/>
        </w:rPr>
        <w:t>"Juvenile Sex Offender Risk Assessment (JSORRAT-II)</w:t>
      </w:r>
      <w:r>
        <w:rPr>
          <w:rFonts w:ascii="Times New Roman" w:hAnsi="Times New Roman" w:cs="Times New Roman"/>
        </w:rPr>
        <w:t xml:space="preserve"> is also required in order to be able to testify in court as it is the only validated risk assessment tool for juvenile sex offenders.  Trainings for this certification can also be found through a variety of organizations by searching the internet.</w:t>
      </w:r>
    </w:p>
    <w:p w:rsidR="002B3AE3" w:rsidRDefault="002B3AE3" w:rsidP="002B3AE3">
      <w:pPr>
        <w:pStyle w:val="ListParagraph"/>
        <w:ind w:left="1080"/>
        <w:rPr>
          <w:rFonts w:ascii="Times New Roman" w:hAnsi="Times New Roman" w:cs="Times New Roman"/>
        </w:rPr>
      </w:pPr>
    </w:p>
    <w:p w:rsidR="00CF225E" w:rsidRDefault="00CF225E" w:rsidP="00CF225E">
      <w:pPr>
        <w:pStyle w:val="ListParagraph"/>
        <w:numPr>
          <w:ilvl w:val="0"/>
          <w:numId w:val="1"/>
        </w:numPr>
        <w:rPr>
          <w:rFonts w:ascii="Times New Roman" w:hAnsi="Times New Roman" w:cs="Times New Roman"/>
        </w:rPr>
      </w:pPr>
      <w:r w:rsidRPr="005E4D65">
        <w:rPr>
          <w:rFonts w:ascii="Times New Roman" w:hAnsi="Times New Roman" w:cs="Times New Roman"/>
        </w:rPr>
        <w:t>Q. Can we use someone at BA level to handle GPS tracking or would that need to be a therapist or a M.A?  We are also asking the same for the in-home or compliance monitoring.</w:t>
      </w:r>
    </w:p>
    <w:p w:rsidR="002B3AE3" w:rsidRPr="00C94C51" w:rsidRDefault="002B3AE3" w:rsidP="00527038">
      <w:pPr>
        <w:pStyle w:val="ListParagraph"/>
        <w:numPr>
          <w:ilvl w:val="0"/>
          <w:numId w:val="8"/>
        </w:numPr>
        <w:spacing w:after="0" w:line="240" w:lineRule="auto"/>
        <w:rPr>
          <w:rFonts w:ascii="Times New Roman" w:hAnsi="Times New Roman" w:cs="Times New Roman"/>
        </w:rPr>
      </w:pPr>
      <w:r w:rsidRPr="00C94C51">
        <w:rPr>
          <w:rFonts w:ascii="Times New Roman" w:hAnsi="Times New Roman" w:cs="Times New Roman"/>
        </w:rPr>
        <w:t>The RFP Scope of Work, Deliverable number 2, page 6, states, “</w:t>
      </w:r>
      <w:r w:rsidRPr="00C94C51">
        <w:rPr>
          <w:rFonts w:ascii="Times New Roman" w:eastAsia="Times New Roman" w:hAnsi="Times New Roman" w:cs="Times New Roman"/>
        </w:rPr>
        <w:t xml:space="preserve">Maintain a Master's Level therapist to provide clinical oversight and direct provision of therapeutic services.  The Master's Level therapist must be competent and experienced in providing sexual offender services.”  A Master’s Level therapist is not required for </w:t>
      </w:r>
      <w:r w:rsidR="00C94C51" w:rsidRPr="00C94C51">
        <w:rPr>
          <w:rFonts w:ascii="Times New Roman" w:eastAsia="Times New Roman" w:hAnsi="Times New Roman" w:cs="Times New Roman"/>
        </w:rPr>
        <w:t>provision of Deliverables outside of clinical oversight and direct provision of therapeutic services</w:t>
      </w:r>
      <w:r w:rsidR="00E7530E">
        <w:rPr>
          <w:rFonts w:ascii="Times New Roman" w:eastAsia="Times New Roman" w:hAnsi="Times New Roman" w:cs="Times New Roman"/>
        </w:rPr>
        <w:t xml:space="preserve">.  </w:t>
      </w:r>
      <w:r w:rsidR="00C94C51" w:rsidRPr="00C94C51">
        <w:rPr>
          <w:rFonts w:ascii="Times New Roman" w:eastAsia="Times New Roman" w:hAnsi="Times New Roman" w:cs="Times New Roman"/>
        </w:rPr>
        <w:t>GPS tracking and monitoring</w:t>
      </w:r>
      <w:r w:rsidR="00E7530E">
        <w:rPr>
          <w:rFonts w:ascii="Times New Roman" w:eastAsia="Times New Roman" w:hAnsi="Times New Roman" w:cs="Times New Roman"/>
        </w:rPr>
        <w:t xml:space="preserve">, </w:t>
      </w:r>
      <w:r w:rsidR="00E7530E">
        <w:rPr>
          <w:rFonts w:ascii="Times New Roman" w:eastAsia="Times New Roman" w:hAnsi="Times New Roman" w:cs="Times New Roman"/>
        </w:rPr>
        <w:lastRenderedPageBreak/>
        <w:t>and in-home or compliance monitoring, therefore, would not require a Master’s Level therapist</w:t>
      </w:r>
      <w:r w:rsidR="00C94C51" w:rsidRPr="00C94C51">
        <w:rPr>
          <w:rFonts w:ascii="Times New Roman" w:eastAsia="Times New Roman" w:hAnsi="Times New Roman" w:cs="Times New Roman"/>
        </w:rPr>
        <w:t>.</w:t>
      </w:r>
    </w:p>
    <w:p w:rsidR="00CF225E" w:rsidRPr="005E4D65" w:rsidRDefault="00CF225E" w:rsidP="00CF225E">
      <w:pPr>
        <w:rPr>
          <w:rFonts w:ascii="Times New Roman" w:hAnsi="Times New Roman" w:cs="Times New Roman"/>
        </w:rPr>
      </w:pPr>
    </w:p>
    <w:p w:rsidR="00CF225E" w:rsidRDefault="00CF225E" w:rsidP="00C94C51">
      <w:pPr>
        <w:pStyle w:val="ListParagraph"/>
        <w:numPr>
          <w:ilvl w:val="0"/>
          <w:numId w:val="1"/>
        </w:numPr>
        <w:rPr>
          <w:rFonts w:ascii="Times New Roman" w:hAnsi="Times New Roman" w:cs="Times New Roman"/>
        </w:rPr>
      </w:pPr>
      <w:r w:rsidRPr="00C94C51">
        <w:rPr>
          <w:rFonts w:ascii="Times New Roman" w:hAnsi="Times New Roman" w:cs="Times New Roman"/>
        </w:rPr>
        <w:t xml:space="preserve">Q. What is the monitoring guideline? Would it be 24/7? </w:t>
      </w:r>
    </w:p>
    <w:p w:rsidR="00C94C51" w:rsidRPr="00C94C51" w:rsidRDefault="00B707A0" w:rsidP="00C94C51">
      <w:pPr>
        <w:pStyle w:val="ListParagraph"/>
        <w:numPr>
          <w:ilvl w:val="0"/>
          <w:numId w:val="9"/>
        </w:numPr>
        <w:rPr>
          <w:rFonts w:ascii="Times New Roman" w:hAnsi="Times New Roman" w:cs="Times New Roman"/>
        </w:rPr>
      </w:pPr>
      <w:r>
        <w:rPr>
          <w:rFonts w:ascii="Times New Roman" w:hAnsi="Times New Roman" w:cs="Times New Roman"/>
        </w:rPr>
        <w:t xml:space="preserve">For GPS monitoring, the expectation is that the Contractor would notify JCO of any violations of the electronic monitoring within the same day or the next business day if the violation occurred after regular business hours.  </w:t>
      </w:r>
    </w:p>
    <w:p w:rsidR="00CF225E" w:rsidRDefault="00B707A0" w:rsidP="00F239AB">
      <w:pPr>
        <w:spacing w:after="0"/>
        <w:ind w:left="1080"/>
        <w:rPr>
          <w:rFonts w:ascii="Times New Roman" w:hAnsi="Times New Roman" w:cs="Times New Roman"/>
        </w:rPr>
      </w:pPr>
      <w:r>
        <w:rPr>
          <w:rFonts w:ascii="Times New Roman" w:hAnsi="Times New Roman" w:cs="Times New Roman"/>
        </w:rPr>
        <w:t xml:space="preserve">Physical tracking of client compliance should be tailored to client risk level and needs.  It should be individualized and determined by the JCO.  It is preferable to track the client physically but can be done virtually, especially if the clients lives several counties away from Polk County.  An appropriate benchmark would be to physically track each client 50% in person </w:t>
      </w:r>
      <w:r w:rsidR="003D4E1A">
        <w:rPr>
          <w:rFonts w:ascii="Times New Roman" w:hAnsi="Times New Roman" w:cs="Times New Roman"/>
        </w:rPr>
        <w:t xml:space="preserve">and 50% virtually, with a preference for face-to-face contact.  </w:t>
      </w:r>
    </w:p>
    <w:p w:rsidR="003D4E1A" w:rsidRDefault="003D4E1A" w:rsidP="00F239AB">
      <w:pPr>
        <w:spacing w:after="0"/>
        <w:ind w:left="1080"/>
        <w:rPr>
          <w:rFonts w:ascii="Times New Roman" w:hAnsi="Times New Roman" w:cs="Times New Roman"/>
        </w:rPr>
      </w:pPr>
    </w:p>
    <w:p w:rsidR="00CF225E" w:rsidRDefault="00CF225E" w:rsidP="00C94C51">
      <w:pPr>
        <w:pStyle w:val="ListParagraph"/>
        <w:numPr>
          <w:ilvl w:val="0"/>
          <w:numId w:val="1"/>
        </w:numPr>
        <w:rPr>
          <w:rFonts w:ascii="Times New Roman" w:hAnsi="Times New Roman" w:cs="Times New Roman"/>
        </w:rPr>
      </w:pPr>
      <w:r w:rsidRPr="005E4D65">
        <w:rPr>
          <w:rFonts w:ascii="Times New Roman" w:hAnsi="Times New Roman" w:cs="Times New Roman"/>
        </w:rPr>
        <w:t xml:space="preserve">Q. LSI will have a staff certified in SOTP by July 1, but does not have one currently.  Can we </w:t>
      </w:r>
      <w:r w:rsidR="00C94C51">
        <w:rPr>
          <w:rFonts w:ascii="Times New Roman" w:hAnsi="Times New Roman" w:cs="Times New Roman"/>
        </w:rPr>
        <w:t>s</w:t>
      </w:r>
      <w:r w:rsidRPr="005E4D65">
        <w:rPr>
          <w:rFonts w:ascii="Times New Roman" w:hAnsi="Times New Roman" w:cs="Times New Roman"/>
        </w:rPr>
        <w:t>till apply for this?</w:t>
      </w:r>
    </w:p>
    <w:p w:rsidR="00C94C51" w:rsidRPr="005E4D65" w:rsidRDefault="00C94C51" w:rsidP="00C94C51">
      <w:pPr>
        <w:pStyle w:val="ListParagraph"/>
        <w:numPr>
          <w:ilvl w:val="0"/>
          <w:numId w:val="10"/>
        </w:numPr>
        <w:rPr>
          <w:rFonts w:ascii="Times New Roman" w:hAnsi="Times New Roman" w:cs="Times New Roman"/>
        </w:rPr>
      </w:pPr>
      <w:r>
        <w:rPr>
          <w:rFonts w:ascii="Times New Roman" w:hAnsi="Times New Roman" w:cs="Times New Roman"/>
        </w:rPr>
        <w:t>Staff should be certified or within 2 months of certification by the date the Contract commences, July 1, 2021.</w:t>
      </w:r>
    </w:p>
    <w:p w:rsidR="00C94C51" w:rsidRDefault="00C94C51" w:rsidP="00C94C51">
      <w:pPr>
        <w:pStyle w:val="ListParagraph"/>
        <w:tabs>
          <w:tab w:val="left" w:pos="720"/>
        </w:tabs>
        <w:spacing w:after="0"/>
        <w:rPr>
          <w:rFonts w:ascii="Times New Roman" w:hAnsi="Times New Roman" w:cs="Times New Roman"/>
        </w:rPr>
      </w:pPr>
    </w:p>
    <w:p w:rsidR="00D01043" w:rsidRDefault="00CF225E" w:rsidP="00C94C51">
      <w:pPr>
        <w:pStyle w:val="ListParagraph"/>
        <w:numPr>
          <w:ilvl w:val="0"/>
          <w:numId w:val="1"/>
        </w:numPr>
        <w:tabs>
          <w:tab w:val="left" w:pos="720"/>
        </w:tabs>
        <w:spacing w:after="0"/>
        <w:rPr>
          <w:rFonts w:ascii="Times New Roman" w:hAnsi="Times New Roman" w:cs="Times New Roman"/>
        </w:rPr>
      </w:pPr>
      <w:r w:rsidRPr="005E4D65">
        <w:rPr>
          <w:rFonts w:ascii="Times New Roman" w:hAnsi="Times New Roman" w:cs="Times New Roman"/>
        </w:rPr>
        <w:t>Q. Does Adolescent Perpetration Prevention /treatment certification through Kemp Center at University of Colorado, count as an acceptable certification?</w:t>
      </w:r>
    </w:p>
    <w:p w:rsidR="00C94C51" w:rsidRPr="005E4D65" w:rsidRDefault="003D4E1A" w:rsidP="00C94C51">
      <w:pPr>
        <w:pStyle w:val="ListParagraph"/>
        <w:numPr>
          <w:ilvl w:val="0"/>
          <w:numId w:val="11"/>
        </w:numPr>
        <w:tabs>
          <w:tab w:val="left" w:pos="720"/>
        </w:tabs>
        <w:spacing w:after="0"/>
        <w:rPr>
          <w:rFonts w:ascii="Times New Roman" w:hAnsi="Times New Roman" w:cs="Times New Roman"/>
        </w:rPr>
      </w:pPr>
      <w:r>
        <w:rPr>
          <w:rFonts w:ascii="Times New Roman" w:hAnsi="Times New Roman" w:cs="Times New Roman"/>
        </w:rPr>
        <w:t xml:space="preserve">The listed certifications and trainings are </w:t>
      </w:r>
      <w:r w:rsidR="00B127BF">
        <w:rPr>
          <w:rFonts w:ascii="Times New Roman" w:hAnsi="Times New Roman" w:cs="Times New Roman"/>
        </w:rPr>
        <w:t>in line with what Juvenile Court Services believes are the most appropriate at this time.</w:t>
      </w:r>
    </w:p>
    <w:p w:rsidR="00D01043" w:rsidRPr="005E4D65" w:rsidRDefault="00D01043" w:rsidP="00D01043">
      <w:pPr>
        <w:pStyle w:val="ListParagraph"/>
        <w:rPr>
          <w:rFonts w:ascii="Times New Roman" w:hAnsi="Times New Roman" w:cs="Times New Roman"/>
        </w:rPr>
      </w:pPr>
    </w:p>
    <w:p w:rsidR="00D01043" w:rsidRDefault="00D01043" w:rsidP="00C94C51">
      <w:pPr>
        <w:pStyle w:val="ListParagraph"/>
        <w:numPr>
          <w:ilvl w:val="0"/>
          <w:numId w:val="1"/>
        </w:numPr>
        <w:tabs>
          <w:tab w:val="left" w:pos="720"/>
        </w:tabs>
        <w:spacing w:after="0"/>
        <w:rPr>
          <w:rFonts w:ascii="Times New Roman" w:hAnsi="Times New Roman" w:cs="Times New Roman"/>
        </w:rPr>
      </w:pPr>
      <w:r w:rsidRPr="005E4D65">
        <w:rPr>
          <w:rFonts w:ascii="Times New Roman" w:hAnsi="Times New Roman" w:cs="Times New Roman"/>
        </w:rPr>
        <w:t>Q. For the purpose of obtaining reference letters, are current Juvenile Court Services employees eligible to provide references?</w:t>
      </w:r>
    </w:p>
    <w:p w:rsidR="00C94C51" w:rsidRPr="005E4D65" w:rsidRDefault="00C94C51" w:rsidP="00C94C51">
      <w:pPr>
        <w:pStyle w:val="ListParagraph"/>
        <w:numPr>
          <w:ilvl w:val="0"/>
          <w:numId w:val="12"/>
        </w:numPr>
        <w:tabs>
          <w:tab w:val="left" w:pos="720"/>
        </w:tabs>
        <w:spacing w:after="0"/>
        <w:rPr>
          <w:rFonts w:ascii="Times New Roman" w:hAnsi="Times New Roman" w:cs="Times New Roman"/>
        </w:rPr>
      </w:pPr>
      <w:r>
        <w:rPr>
          <w:rFonts w:ascii="Times New Roman" w:hAnsi="Times New Roman" w:cs="Times New Roman"/>
        </w:rPr>
        <w:t xml:space="preserve">Unfortunately, Juvenile Court Services </w:t>
      </w:r>
      <w:r w:rsidR="00E7530E">
        <w:rPr>
          <w:rFonts w:ascii="Times New Roman" w:hAnsi="Times New Roman" w:cs="Times New Roman"/>
        </w:rPr>
        <w:t xml:space="preserve">and Department of Human Services </w:t>
      </w:r>
      <w:r>
        <w:rPr>
          <w:rFonts w:ascii="Times New Roman" w:hAnsi="Times New Roman" w:cs="Times New Roman"/>
        </w:rPr>
        <w:t xml:space="preserve">staff are not eligible to provide references.  However, clients who have been served as well as other organizations who have been served by similar services can be used as references.  Please refer to pages 19 and 20 of the RFP, Section </w:t>
      </w:r>
      <w:r w:rsidRPr="00C94C51">
        <w:rPr>
          <w:rFonts w:ascii="Times New Roman" w:eastAsia="Times New Roman" w:hAnsi="Times New Roman" w:cs="Times New Roman"/>
        </w:rPr>
        <w:t>3.2.4.3</w:t>
      </w:r>
      <w:r>
        <w:rPr>
          <w:rFonts w:ascii="Times New Roman" w:eastAsia="Times New Roman" w:hAnsi="Times New Roman" w:cs="Times New Roman"/>
        </w:rPr>
        <w:t>,</w:t>
      </w:r>
      <w:r w:rsidRPr="00C94C51">
        <w:rPr>
          <w:rFonts w:ascii="Times New Roman" w:eastAsia="Times New Roman" w:hAnsi="Times New Roman" w:cs="Times New Roman"/>
        </w:rPr>
        <w:t xml:space="preserve"> </w:t>
      </w:r>
      <w:r>
        <w:rPr>
          <w:rFonts w:ascii="Times New Roman" w:eastAsia="Times New Roman" w:hAnsi="Times New Roman" w:cs="Times New Roman"/>
        </w:rPr>
        <w:t>“</w:t>
      </w:r>
      <w:r w:rsidRPr="00C94C51">
        <w:rPr>
          <w:rFonts w:ascii="Times New Roman" w:eastAsia="Times New Roman" w:hAnsi="Times New Roman" w:cs="Times New Roman"/>
        </w:rPr>
        <w:t xml:space="preserve"> Letters of reference from three (3) of the Bidder’s previous clients knowledgeable of the Bidder’s performance in providing services similar to those sought in this RFP, including a contact person, telephone number, and email address for each reference.  It is preferred that letters of reference are provided for services that were procured in a competitive environment.  Form letters of reference that do not elaborate on the Bidder’s performance under the specific relationships addressed in the reference letter may negatively impact the Bidder’s evaluation/score.  Persons who are currently employed by the Agency are not eligible to be references.</w:t>
      </w:r>
      <w:r>
        <w:rPr>
          <w:rFonts w:ascii="Times New Roman" w:eastAsia="Times New Roman" w:hAnsi="Times New Roman" w:cs="Times New Roman"/>
        </w:rPr>
        <w:t>”</w:t>
      </w:r>
    </w:p>
    <w:p w:rsidR="00D01043" w:rsidRPr="005E4D65" w:rsidRDefault="00D01043" w:rsidP="00D01043">
      <w:pPr>
        <w:pStyle w:val="ListParagraph"/>
        <w:rPr>
          <w:rFonts w:ascii="Times New Roman" w:hAnsi="Times New Roman" w:cs="Times New Roman"/>
        </w:rPr>
      </w:pPr>
    </w:p>
    <w:p w:rsidR="00D01043" w:rsidRDefault="00D01043" w:rsidP="00C94C51">
      <w:pPr>
        <w:pStyle w:val="ListParagraph"/>
        <w:numPr>
          <w:ilvl w:val="0"/>
          <w:numId w:val="1"/>
        </w:numPr>
        <w:tabs>
          <w:tab w:val="left" w:pos="720"/>
        </w:tabs>
        <w:spacing w:after="0"/>
        <w:rPr>
          <w:rFonts w:ascii="Times New Roman" w:hAnsi="Times New Roman" w:cs="Times New Roman"/>
        </w:rPr>
      </w:pPr>
      <w:r w:rsidRPr="005E4D65">
        <w:rPr>
          <w:rFonts w:ascii="Times New Roman" w:hAnsi="Times New Roman" w:cs="Times New Roman"/>
        </w:rPr>
        <w:t xml:space="preserve">Q. What vendors submitted a letter of intent for this RFP? </w:t>
      </w:r>
    </w:p>
    <w:p w:rsidR="00D01043" w:rsidRDefault="00C94C51" w:rsidP="00C94C51">
      <w:pPr>
        <w:pStyle w:val="ListParagraph"/>
        <w:numPr>
          <w:ilvl w:val="0"/>
          <w:numId w:val="13"/>
        </w:numPr>
        <w:rPr>
          <w:rFonts w:ascii="Times New Roman" w:hAnsi="Times New Roman" w:cs="Times New Roman"/>
        </w:rPr>
      </w:pPr>
      <w:r>
        <w:rPr>
          <w:rFonts w:ascii="Times New Roman" w:hAnsi="Times New Roman" w:cs="Times New Roman"/>
        </w:rPr>
        <w:t>Vendors who have submitted LOIs include: Woodward Community Based Services, Lutheran Services in Iowa, Catholic Charities.</w:t>
      </w:r>
    </w:p>
    <w:p w:rsidR="00C94C51" w:rsidRPr="005E4D65" w:rsidRDefault="00C94C51" w:rsidP="00D01043">
      <w:pPr>
        <w:pStyle w:val="ListParagraph"/>
        <w:rPr>
          <w:rFonts w:ascii="Times New Roman" w:hAnsi="Times New Roman" w:cs="Times New Roman"/>
        </w:rPr>
      </w:pPr>
    </w:p>
    <w:p w:rsidR="00D01043" w:rsidRDefault="00D01043" w:rsidP="00C94C51">
      <w:pPr>
        <w:pStyle w:val="ListParagraph"/>
        <w:numPr>
          <w:ilvl w:val="0"/>
          <w:numId w:val="1"/>
        </w:numPr>
        <w:tabs>
          <w:tab w:val="left" w:pos="720"/>
        </w:tabs>
        <w:spacing w:after="0"/>
        <w:rPr>
          <w:rFonts w:ascii="Times New Roman" w:hAnsi="Times New Roman" w:cs="Times New Roman"/>
        </w:rPr>
      </w:pPr>
      <w:r w:rsidRPr="005E4D65">
        <w:rPr>
          <w:rFonts w:ascii="Times New Roman" w:hAnsi="Times New Roman" w:cs="Times New Roman"/>
        </w:rPr>
        <w:t>Q. Will clients who are referred for GPS Monitoring/Tracking Services only be accepted if they are also taking part in the Treatment services portion of this contract?</w:t>
      </w:r>
    </w:p>
    <w:p w:rsidR="00C94C51" w:rsidRPr="00C94C51" w:rsidRDefault="003D4E1A" w:rsidP="00C94C51">
      <w:pPr>
        <w:pStyle w:val="ListParagraph"/>
        <w:numPr>
          <w:ilvl w:val="0"/>
          <w:numId w:val="20"/>
        </w:numPr>
        <w:rPr>
          <w:rFonts w:ascii="Times New Roman" w:hAnsi="Times New Roman" w:cs="Times New Roman"/>
        </w:rPr>
      </w:pPr>
      <w:r>
        <w:rPr>
          <w:rFonts w:ascii="Times New Roman" w:hAnsi="Times New Roman" w:cs="Times New Roman"/>
        </w:rPr>
        <w:t xml:space="preserve">Clients who are referred to this program should get some form of services outside of the GPS Monitoring/Tracking, whether it is skill-building, therapy, etc., related to their treatment.  It is </w:t>
      </w:r>
      <w:r>
        <w:rPr>
          <w:rFonts w:ascii="Times New Roman" w:hAnsi="Times New Roman" w:cs="Times New Roman"/>
        </w:rPr>
        <w:lastRenderedPageBreak/>
        <w:t>possible that a nominal amount of tracking could be requested post-treatment, but this would be rare.</w:t>
      </w:r>
    </w:p>
    <w:p w:rsidR="00C94C51" w:rsidRPr="00C94C51" w:rsidRDefault="00C94C51" w:rsidP="00C94C51">
      <w:pPr>
        <w:rPr>
          <w:rFonts w:ascii="Times New Roman" w:hAnsi="Times New Roman" w:cs="Times New Roman"/>
        </w:rPr>
      </w:pPr>
    </w:p>
    <w:p w:rsidR="00CF225E" w:rsidRDefault="00D01043" w:rsidP="00C94C51">
      <w:pPr>
        <w:pStyle w:val="ListParagraph"/>
        <w:numPr>
          <w:ilvl w:val="0"/>
          <w:numId w:val="1"/>
        </w:numPr>
        <w:tabs>
          <w:tab w:val="left" w:pos="720"/>
        </w:tabs>
        <w:spacing w:after="0"/>
        <w:rPr>
          <w:rFonts w:ascii="Times New Roman" w:hAnsi="Times New Roman" w:cs="Times New Roman"/>
        </w:rPr>
      </w:pPr>
      <w:r w:rsidRPr="005E4D65">
        <w:rPr>
          <w:rFonts w:ascii="Times New Roman" w:hAnsi="Times New Roman" w:cs="Times New Roman"/>
        </w:rPr>
        <w:t>Q. In the past, primarily males with sexual offending behaviors have been the only clients referred under the current contract.  1.3 Scope of Work 1.3.1 Deliverables point 19-d. Those who identify as “Male”, “Female” and “Other”.  Would it be expected that referrals for female SO behavior could be possible under this contract?</w:t>
      </w:r>
    </w:p>
    <w:p w:rsidR="00C94C51" w:rsidRDefault="00C94C51" w:rsidP="00C94C51">
      <w:pPr>
        <w:pStyle w:val="ListParagraph"/>
        <w:numPr>
          <w:ilvl w:val="0"/>
          <w:numId w:val="17"/>
        </w:numPr>
        <w:tabs>
          <w:tab w:val="left" w:pos="720"/>
        </w:tabs>
        <w:spacing w:after="0"/>
        <w:rPr>
          <w:rFonts w:ascii="Times New Roman" w:hAnsi="Times New Roman" w:cs="Times New Roman"/>
        </w:rPr>
      </w:pPr>
      <w:r>
        <w:rPr>
          <w:rFonts w:ascii="Times New Roman" w:hAnsi="Times New Roman" w:cs="Times New Roman"/>
        </w:rPr>
        <w:t>Yes</w:t>
      </w:r>
      <w:r w:rsidR="00E7530E">
        <w:rPr>
          <w:rFonts w:ascii="Times New Roman" w:hAnsi="Times New Roman" w:cs="Times New Roman"/>
        </w:rPr>
        <w:t>, it is possible that female clients could be referred for services</w:t>
      </w:r>
      <w:r>
        <w:rPr>
          <w:rFonts w:ascii="Times New Roman" w:hAnsi="Times New Roman" w:cs="Times New Roman"/>
        </w:rPr>
        <w:t>.</w:t>
      </w:r>
    </w:p>
    <w:p w:rsidR="00F239AB" w:rsidRDefault="00F239AB" w:rsidP="00F239AB">
      <w:pPr>
        <w:tabs>
          <w:tab w:val="left" w:pos="720"/>
        </w:tabs>
        <w:spacing w:after="0"/>
        <w:rPr>
          <w:rFonts w:ascii="Times New Roman" w:hAnsi="Times New Roman" w:cs="Times New Roman"/>
        </w:rPr>
      </w:pPr>
    </w:p>
    <w:p w:rsidR="00F239AB" w:rsidRDefault="00F239AB" w:rsidP="00F239AB">
      <w:pPr>
        <w:tabs>
          <w:tab w:val="left" w:pos="720"/>
        </w:tabs>
        <w:spacing w:after="0"/>
        <w:rPr>
          <w:rFonts w:ascii="Times New Roman" w:hAnsi="Times New Roman" w:cs="Times New Roman"/>
        </w:rPr>
      </w:pPr>
    </w:p>
    <w:p w:rsidR="00F239AB" w:rsidRDefault="00F239AB" w:rsidP="00F239AB">
      <w:pPr>
        <w:tabs>
          <w:tab w:val="left" w:pos="720"/>
        </w:tabs>
        <w:spacing w:after="0"/>
        <w:rPr>
          <w:rFonts w:ascii="Times New Roman" w:hAnsi="Times New Roman" w:cs="Times New Roman"/>
          <w:b/>
          <w:sz w:val="28"/>
          <w:szCs w:val="28"/>
          <w:u w:val="single"/>
        </w:rPr>
      </w:pPr>
      <w:r>
        <w:rPr>
          <w:rFonts w:ascii="Times New Roman" w:hAnsi="Times New Roman" w:cs="Times New Roman"/>
          <w:b/>
          <w:sz w:val="28"/>
          <w:szCs w:val="28"/>
          <w:u w:val="single"/>
        </w:rPr>
        <w:t>Questions asked in Bidders’ Conference Call</w:t>
      </w:r>
    </w:p>
    <w:p w:rsidR="00F239AB" w:rsidRDefault="00F239AB" w:rsidP="00F239AB">
      <w:pPr>
        <w:tabs>
          <w:tab w:val="left" w:pos="720"/>
        </w:tabs>
        <w:spacing w:after="0"/>
        <w:rPr>
          <w:rFonts w:ascii="Times New Roman" w:hAnsi="Times New Roman" w:cs="Times New Roman"/>
          <w:b/>
          <w:sz w:val="28"/>
          <w:szCs w:val="28"/>
          <w:u w:val="single"/>
        </w:rPr>
      </w:pPr>
    </w:p>
    <w:p w:rsidR="00F239AB" w:rsidRDefault="00F239AB" w:rsidP="00F239AB">
      <w:pPr>
        <w:pStyle w:val="ListParagraph"/>
        <w:numPr>
          <w:ilvl w:val="0"/>
          <w:numId w:val="1"/>
        </w:numPr>
        <w:tabs>
          <w:tab w:val="left" w:pos="720"/>
        </w:tabs>
        <w:spacing w:after="0"/>
        <w:rPr>
          <w:rFonts w:ascii="Times New Roman" w:hAnsi="Times New Roman" w:cs="Times New Roman"/>
        </w:rPr>
      </w:pPr>
      <w:r>
        <w:rPr>
          <w:rFonts w:ascii="Times New Roman" w:hAnsi="Times New Roman" w:cs="Times New Roman"/>
        </w:rPr>
        <w:t xml:space="preserve">Q. </w:t>
      </w:r>
      <w:r w:rsidRPr="00F239AB">
        <w:rPr>
          <w:rFonts w:ascii="Times New Roman" w:hAnsi="Times New Roman" w:cs="Times New Roman"/>
        </w:rPr>
        <w:t>Question on the cost proposal is the $255,000 per year for six years a fix</w:t>
      </w:r>
      <w:r>
        <w:rPr>
          <w:rFonts w:ascii="Times New Roman" w:hAnsi="Times New Roman" w:cs="Times New Roman"/>
        </w:rPr>
        <w:t>ed</w:t>
      </w:r>
      <w:r w:rsidRPr="00F239AB">
        <w:rPr>
          <w:rFonts w:ascii="Times New Roman" w:hAnsi="Times New Roman" w:cs="Times New Roman"/>
        </w:rPr>
        <w:t xml:space="preserve"> rate? </w:t>
      </w:r>
    </w:p>
    <w:p w:rsidR="00F239AB" w:rsidRDefault="00F239AB" w:rsidP="00F239AB">
      <w:pPr>
        <w:pStyle w:val="ListParagraph"/>
        <w:numPr>
          <w:ilvl w:val="0"/>
          <w:numId w:val="21"/>
        </w:numPr>
        <w:tabs>
          <w:tab w:val="left" w:pos="720"/>
        </w:tabs>
        <w:spacing w:after="0"/>
        <w:rPr>
          <w:rFonts w:ascii="Times New Roman" w:hAnsi="Times New Roman" w:cs="Times New Roman"/>
        </w:rPr>
      </w:pPr>
      <w:r w:rsidRPr="00F239AB">
        <w:rPr>
          <w:rFonts w:ascii="Times New Roman" w:hAnsi="Times New Roman" w:cs="Times New Roman"/>
        </w:rPr>
        <w:t xml:space="preserve">That </w:t>
      </w:r>
      <w:r>
        <w:rPr>
          <w:rFonts w:ascii="Times New Roman" w:hAnsi="Times New Roman" w:cs="Times New Roman"/>
        </w:rPr>
        <w:t xml:space="preserve">number </w:t>
      </w:r>
      <w:r w:rsidRPr="00F239AB">
        <w:rPr>
          <w:rFonts w:ascii="Times New Roman" w:hAnsi="Times New Roman" w:cs="Times New Roman"/>
        </w:rPr>
        <w:t xml:space="preserve">is </w:t>
      </w:r>
      <w:r>
        <w:rPr>
          <w:rFonts w:ascii="Times New Roman" w:hAnsi="Times New Roman" w:cs="Times New Roman"/>
        </w:rPr>
        <w:t xml:space="preserve">just </w:t>
      </w:r>
      <w:r w:rsidRPr="00F239AB">
        <w:rPr>
          <w:rFonts w:ascii="Times New Roman" w:hAnsi="Times New Roman" w:cs="Times New Roman"/>
        </w:rPr>
        <w:t>a bench mark</w:t>
      </w:r>
      <w:r>
        <w:rPr>
          <w:rFonts w:ascii="Times New Roman" w:hAnsi="Times New Roman" w:cs="Times New Roman"/>
        </w:rPr>
        <w:t xml:space="preserve"> or average of the $1,530,000.00 six-year value divided by six</w:t>
      </w:r>
      <w:r w:rsidRPr="00F239AB">
        <w:rPr>
          <w:rFonts w:ascii="Times New Roman" w:hAnsi="Times New Roman" w:cs="Times New Roman"/>
        </w:rPr>
        <w:t xml:space="preserve">. The amount for the total of 6 years is what cannot </w:t>
      </w:r>
      <w:r>
        <w:rPr>
          <w:rFonts w:ascii="Times New Roman" w:hAnsi="Times New Roman" w:cs="Times New Roman"/>
        </w:rPr>
        <w:t xml:space="preserve">be </w:t>
      </w:r>
      <w:r w:rsidRPr="00F239AB">
        <w:rPr>
          <w:rFonts w:ascii="Times New Roman" w:hAnsi="Times New Roman" w:cs="Times New Roman"/>
        </w:rPr>
        <w:t>exceed</w:t>
      </w:r>
      <w:r>
        <w:rPr>
          <w:rFonts w:ascii="Times New Roman" w:hAnsi="Times New Roman" w:cs="Times New Roman"/>
        </w:rPr>
        <w:t>ed</w:t>
      </w:r>
      <w:r w:rsidRPr="00F239AB">
        <w:rPr>
          <w:rFonts w:ascii="Times New Roman" w:hAnsi="Times New Roman" w:cs="Times New Roman"/>
        </w:rPr>
        <w:t xml:space="preserve">. If the first year </w:t>
      </w:r>
      <w:r>
        <w:rPr>
          <w:rFonts w:ascii="Times New Roman" w:hAnsi="Times New Roman" w:cs="Times New Roman"/>
        </w:rPr>
        <w:t>costs are</w:t>
      </w:r>
      <w:r w:rsidRPr="00F239AB">
        <w:rPr>
          <w:rFonts w:ascii="Times New Roman" w:hAnsi="Times New Roman" w:cs="Times New Roman"/>
        </w:rPr>
        <w:t xml:space="preserve"> under </w:t>
      </w:r>
      <w:r>
        <w:rPr>
          <w:rFonts w:ascii="Times New Roman" w:hAnsi="Times New Roman" w:cs="Times New Roman"/>
        </w:rPr>
        <w:t xml:space="preserve">that amount, subsequent year expenditures can increase to accommodate wage and other cost increases, </w:t>
      </w:r>
      <w:r w:rsidRPr="00F239AB">
        <w:rPr>
          <w:rFonts w:ascii="Times New Roman" w:hAnsi="Times New Roman" w:cs="Times New Roman"/>
        </w:rPr>
        <w:t xml:space="preserve">as long as </w:t>
      </w:r>
      <w:r>
        <w:rPr>
          <w:rFonts w:ascii="Times New Roman" w:hAnsi="Times New Roman" w:cs="Times New Roman"/>
        </w:rPr>
        <w:t xml:space="preserve">the budget </w:t>
      </w:r>
      <w:r w:rsidRPr="00F239AB">
        <w:rPr>
          <w:rFonts w:ascii="Times New Roman" w:hAnsi="Times New Roman" w:cs="Times New Roman"/>
        </w:rPr>
        <w:t xml:space="preserve">for the total of six years does not </w:t>
      </w:r>
      <w:r>
        <w:rPr>
          <w:rFonts w:ascii="Times New Roman" w:hAnsi="Times New Roman" w:cs="Times New Roman"/>
        </w:rPr>
        <w:t>exceed $1,530,000.00</w:t>
      </w:r>
      <w:r w:rsidRPr="00F239AB">
        <w:rPr>
          <w:rFonts w:ascii="Times New Roman" w:hAnsi="Times New Roman" w:cs="Times New Roman"/>
        </w:rPr>
        <w:t>. (</w:t>
      </w:r>
      <w:r>
        <w:rPr>
          <w:rFonts w:ascii="Times New Roman" w:hAnsi="Times New Roman" w:cs="Times New Roman"/>
        </w:rPr>
        <w:t>Refer to Section 3.3 Cost Proposal, page</w:t>
      </w:r>
      <w:r w:rsidRPr="00F239AB">
        <w:rPr>
          <w:rFonts w:ascii="Times New Roman" w:hAnsi="Times New Roman" w:cs="Times New Roman"/>
        </w:rPr>
        <w:t xml:space="preserve"> 20</w:t>
      </w:r>
      <w:r>
        <w:rPr>
          <w:rFonts w:ascii="Times New Roman" w:hAnsi="Times New Roman" w:cs="Times New Roman"/>
        </w:rPr>
        <w:t>, of the RFP</w:t>
      </w:r>
      <w:r w:rsidRPr="00F239AB">
        <w:rPr>
          <w:rFonts w:ascii="Times New Roman" w:hAnsi="Times New Roman" w:cs="Times New Roman"/>
        </w:rPr>
        <w:t>)</w:t>
      </w:r>
    </w:p>
    <w:p w:rsidR="00217A13" w:rsidRDefault="00217A13" w:rsidP="00217A13">
      <w:pPr>
        <w:tabs>
          <w:tab w:val="left" w:pos="720"/>
        </w:tabs>
        <w:spacing w:after="0"/>
        <w:rPr>
          <w:rFonts w:ascii="Times New Roman" w:hAnsi="Times New Roman" w:cs="Times New Roman"/>
        </w:rPr>
      </w:pPr>
    </w:p>
    <w:p w:rsidR="00217A13" w:rsidRDefault="00217A13" w:rsidP="00217A13">
      <w:pPr>
        <w:pStyle w:val="ListParagraph"/>
        <w:numPr>
          <w:ilvl w:val="0"/>
          <w:numId w:val="1"/>
        </w:numPr>
        <w:tabs>
          <w:tab w:val="left" w:pos="720"/>
        </w:tabs>
        <w:spacing w:after="0"/>
        <w:rPr>
          <w:rFonts w:ascii="Times New Roman" w:hAnsi="Times New Roman" w:cs="Times New Roman"/>
        </w:rPr>
      </w:pPr>
      <w:r>
        <w:rPr>
          <w:rFonts w:ascii="Times New Roman" w:hAnsi="Times New Roman" w:cs="Times New Roman"/>
        </w:rPr>
        <w:t>Q. Please repeat the other training that JCS is requiring that assists with testifying in court.</w:t>
      </w:r>
    </w:p>
    <w:p w:rsidR="00217A13" w:rsidRDefault="00217A13" w:rsidP="00217A13">
      <w:pPr>
        <w:pStyle w:val="ListParagraph"/>
        <w:numPr>
          <w:ilvl w:val="0"/>
          <w:numId w:val="22"/>
        </w:numPr>
        <w:rPr>
          <w:rFonts w:ascii="Times New Roman" w:hAnsi="Times New Roman" w:cs="Times New Roman"/>
        </w:rPr>
      </w:pPr>
      <w:r>
        <w:rPr>
          <w:rFonts w:ascii="Times New Roman" w:hAnsi="Times New Roman" w:cs="Times New Roman"/>
        </w:rPr>
        <w:t xml:space="preserve">From Q&amp;A 3, “Certification in the  </w:t>
      </w:r>
      <w:r w:rsidRPr="00A428FE">
        <w:rPr>
          <w:rFonts w:ascii="Times New Roman" w:hAnsi="Times New Roman" w:cs="Times New Roman"/>
        </w:rPr>
        <w:t>"Juvenile Sex Offender Risk Assessment (JSORRAT-II)</w:t>
      </w:r>
      <w:r>
        <w:rPr>
          <w:rFonts w:ascii="Times New Roman" w:hAnsi="Times New Roman" w:cs="Times New Roman"/>
        </w:rPr>
        <w:t xml:space="preserve"> is also required in order to be able to testify in court as it is the only validated risk assessment tool for juvenile sex offenders.  Trainings for this certification can also be found through a variety of organizations by searching the internet.”</w:t>
      </w:r>
    </w:p>
    <w:p w:rsidR="00217A13" w:rsidRDefault="00217A13" w:rsidP="00217A13">
      <w:pPr>
        <w:pStyle w:val="ListParagraph"/>
        <w:ind w:left="1080"/>
        <w:rPr>
          <w:rFonts w:ascii="Times New Roman" w:hAnsi="Times New Roman" w:cs="Times New Roman"/>
        </w:rPr>
      </w:pPr>
    </w:p>
    <w:p w:rsidR="00217A13" w:rsidRDefault="00217A13" w:rsidP="00217A13">
      <w:pPr>
        <w:pStyle w:val="ListParagraph"/>
        <w:numPr>
          <w:ilvl w:val="0"/>
          <w:numId w:val="1"/>
        </w:numPr>
        <w:rPr>
          <w:rFonts w:ascii="Times New Roman" w:hAnsi="Times New Roman" w:cs="Times New Roman"/>
        </w:rPr>
      </w:pPr>
      <w:r>
        <w:rPr>
          <w:rFonts w:ascii="Times New Roman" w:hAnsi="Times New Roman" w:cs="Times New Roman"/>
        </w:rPr>
        <w:t>Q. Is there an agency that already holds this contract?</w:t>
      </w:r>
    </w:p>
    <w:p w:rsidR="00217A13" w:rsidRDefault="00217A13" w:rsidP="00217A13">
      <w:pPr>
        <w:pStyle w:val="ListParagraph"/>
        <w:numPr>
          <w:ilvl w:val="0"/>
          <w:numId w:val="23"/>
        </w:numPr>
        <w:rPr>
          <w:rFonts w:ascii="Times New Roman" w:hAnsi="Times New Roman" w:cs="Times New Roman"/>
        </w:rPr>
      </w:pPr>
      <w:r>
        <w:rPr>
          <w:rFonts w:ascii="Times New Roman" w:hAnsi="Times New Roman" w:cs="Times New Roman"/>
        </w:rPr>
        <w:t>Yes, it is Woodward Community Based Services.  This has been a service that JCS has procured for over 9 years.</w:t>
      </w:r>
    </w:p>
    <w:p w:rsidR="00217A13" w:rsidRDefault="00217A13" w:rsidP="00217A13">
      <w:pPr>
        <w:pStyle w:val="ListParagraph"/>
        <w:ind w:left="1080"/>
        <w:rPr>
          <w:rFonts w:ascii="Times New Roman" w:hAnsi="Times New Roman" w:cs="Times New Roman"/>
        </w:rPr>
      </w:pPr>
    </w:p>
    <w:p w:rsidR="00217A13" w:rsidRDefault="00217A13" w:rsidP="00217A13">
      <w:pPr>
        <w:pStyle w:val="ListParagraph"/>
        <w:numPr>
          <w:ilvl w:val="0"/>
          <w:numId w:val="1"/>
        </w:numPr>
        <w:rPr>
          <w:rFonts w:ascii="Times New Roman" w:hAnsi="Times New Roman" w:cs="Times New Roman"/>
        </w:rPr>
      </w:pPr>
      <w:r>
        <w:rPr>
          <w:rFonts w:ascii="Times New Roman" w:hAnsi="Times New Roman" w:cs="Times New Roman"/>
        </w:rPr>
        <w:t>Q. In the event that Covid restrictions continue, can telehealth be used exclusively?</w:t>
      </w:r>
    </w:p>
    <w:p w:rsidR="00217A13" w:rsidRPr="00217A13" w:rsidRDefault="00217A13" w:rsidP="00217A13">
      <w:pPr>
        <w:pStyle w:val="ListParagraph"/>
        <w:numPr>
          <w:ilvl w:val="0"/>
          <w:numId w:val="24"/>
        </w:numPr>
        <w:rPr>
          <w:rFonts w:ascii="Times New Roman" w:hAnsi="Times New Roman" w:cs="Times New Roman"/>
        </w:rPr>
      </w:pPr>
      <w:r>
        <w:rPr>
          <w:rFonts w:ascii="Times New Roman" w:hAnsi="Times New Roman" w:cs="Times New Roman"/>
        </w:rPr>
        <w:t xml:space="preserve">Not exclusively.  Some contact with youth is necessary in this contract </w:t>
      </w:r>
      <w:r w:rsidR="00FF41F6">
        <w:rPr>
          <w:rFonts w:ascii="Times New Roman" w:hAnsi="Times New Roman" w:cs="Times New Roman"/>
        </w:rPr>
        <w:t>due</w:t>
      </w:r>
      <w:bookmarkStart w:id="0" w:name="_GoBack"/>
      <w:bookmarkEnd w:id="0"/>
      <w:r>
        <w:rPr>
          <w:rFonts w:ascii="Times New Roman" w:hAnsi="Times New Roman" w:cs="Times New Roman"/>
        </w:rPr>
        <w:t xml:space="preserve"> to the nature of the type of risk.  (Refer to Q&amp;A 5.)</w:t>
      </w:r>
    </w:p>
    <w:p w:rsidR="00217A13" w:rsidRPr="00217A13" w:rsidRDefault="00217A13" w:rsidP="00217A13">
      <w:pPr>
        <w:pStyle w:val="ListParagraph"/>
        <w:tabs>
          <w:tab w:val="left" w:pos="720"/>
        </w:tabs>
        <w:spacing w:after="0"/>
        <w:ind w:left="1080"/>
        <w:rPr>
          <w:rFonts w:ascii="Times New Roman" w:hAnsi="Times New Roman" w:cs="Times New Roman"/>
        </w:rPr>
      </w:pPr>
    </w:p>
    <w:sectPr w:rsidR="00217A13" w:rsidRPr="00217A1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27BF" w:rsidRDefault="00B127BF" w:rsidP="00B127BF">
      <w:pPr>
        <w:spacing w:after="0" w:line="240" w:lineRule="auto"/>
      </w:pPr>
      <w:r>
        <w:separator/>
      </w:r>
    </w:p>
  </w:endnote>
  <w:endnote w:type="continuationSeparator" w:id="0">
    <w:p w:rsidR="00B127BF" w:rsidRDefault="00B127BF" w:rsidP="00B12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257470"/>
      <w:docPartObj>
        <w:docPartGallery w:val="Page Numbers (Bottom of Page)"/>
        <w:docPartUnique/>
      </w:docPartObj>
    </w:sdtPr>
    <w:sdtEndPr/>
    <w:sdtContent>
      <w:sdt>
        <w:sdtPr>
          <w:id w:val="-1705238520"/>
          <w:docPartObj>
            <w:docPartGallery w:val="Page Numbers (Top of Page)"/>
            <w:docPartUnique/>
          </w:docPartObj>
        </w:sdtPr>
        <w:sdtEndPr/>
        <w:sdtContent>
          <w:p w:rsidR="00B127BF" w:rsidRDefault="00B127BF">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FF41F6">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F41F6">
              <w:rPr>
                <w:b/>
                <w:bCs/>
                <w:noProof/>
              </w:rPr>
              <w:t>3</w:t>
            </w:r>
            <w:r>
              <w:rPr>
                <w:b/>
                <w:bCs/>
                <w:sz w:val="24"/>
                <w:szCs w:val="24"/>
              </w:rPr>
              <w:fldChar w:fldCharType="end"/>
            </w:r>
          </w:p>
        </w:sdtContent>
      </w:sdt>
    </w:sdtContent>
  </w:sdt>
  <w:p w:rsidR="00B127BF" w:rsidRDefault="00B12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27BF" w:rsidRDefault="00B127BF" w:rsidP="00B127BF">
      <w:pPr>
        <w:spacing w:after="0" w:line="240" w:lineRule="auto"/>
      </w:pPr>
      <w:r>
        <w:separator/>
      </w:r>
    </w:p>
  </w:footnote>
  <w:footnote w:type="continuationSeparator" w:id="0">
    <w:p w:rsidR="00B127BF" w:rsidRDefault="00B127BF" w:rsidP="00B127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044C2"/>
    <w:multiLevelType w:val="hybridMultilevel"/>
    <w:tmpl w:val="5EB0DAF4"/>
    <w:lvl w:ilvl="0" w:tplc="4CDC1E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AA377D"/>
    <w:multiLevelType w:val="hybridMultilevel"/>
    <w:tmpl w:val="EC3C679C"/>
    <w:lvl w:ilvl="0" w:tplc="8BFEF3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793D3D"/>
    <w:multiLevelType w:val="hybridMultilevel"/>
    <w:tmpl w:val="BC488C34"/>
    <w:lvl w:ilvl="0" w:tplc="4DB8E4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CB0ACC"/>
    <w:multiLevelType w:val="hybridMultilevel"/>
    <w:tmpl w:val="3E54A2BA"/>
    <w:lvl w:ilvl="0" w:tplc="B442B604">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525CB4"/>
    <w:multiLevelType w:val="hybridMultilevel"/>
    <w:tmpl w:val="87B012B6"/>
    <w:lvl w:ilvl="0" w:tplc="9384A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406F31"/>
    <w:multiLevelType w:val="hybridMultilevel"/>
    <w:tmpl w:val="D9F4E20A"/>
    <w:lvl w:ilvl="0" w:tplc="89A053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9F13C4"/>
    <w:multiLevelType w:val="hybridMultilevel"/>
    <w:tmpl w:val="8A1CF7C6"/>
    <w:lvl w:ilvl="0" w:tplc="EADA4C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AA94EC6"/>
    <w:multiLevelType w:val="hybridMultilevel"/>
    <w:tmpl w:val="129A22C2"/>
    <w:lvl w:ilvl="0" w:tplc="6E74D1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6854B02"/>
    <w:multiLevelType w:val="hybridMultilevel"/>
    <w:tmpl w:val="7CC410C0"/>
    <w:lvl w:ilvl="0" w:tplc="870A0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4A7B55"/>
    <w:multiLevelType w:val="hybridMultilevel"/>
    <w:tmpl w:val="32D8EDBC"/>
    <w:lvl w:ilvl="0" w:tplc="96665A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FFA21EB"/>
    <w:multiLevelType w:val="hybridMultilevel"/>
    <w:tmpl w:val="5DD2A1AC"/>
    <w:lvl w:ilvl="0" w:tplc="660EBFE6">
      <w:start w:val="1"/>
      <w:numFmt w:val="upperLetter"/>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939595B"/>
    <w:multiLevelType w:val="hybridMultilevel"/>
    <w:tmpl w:val="EF1826C2"/>
    <w:lvl w:ilvl="0" w:tplc="ED1259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BE735E"/>
    <w:multiLevelType w:val="hybridMultilevel"/>
    <w:tmpl w:val="FCEC7AFA"/>
    <w:lvl w:ilvl="0" w:tplc="5CFCC6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F0C2031"/>
    <w:multiLevelType w:val="hybridMultilevel"/>
    <w:tmpl w:val="961C14E6"/>
    <w:lvl w:ilvl="0" w:tplc="4A342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F285EAB"/>
    <w:multiLevelType w:val="hybridMultilevel"/>
    <w:tmpl w:val="49B88BC4"/>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1036F5D"/>
    <w:multiLevelType w:val="hybridMultilevel"/>
    <w:tmpl w:val="80DA9576"/>
    <w:lvl w:ilvl="0" w:tplc="8ADCC3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6842E0C"/>
    <w:multiLevelType w:val="hybridMultilevel"/>
    <w:tmpl w:val="73F86BE6"/>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6323AC"/>
    <w:multiLevelType w:val="hybridMultilevel"/>
    <w:tmpl w:val="0824B6B6"/>
    <w:lvl w:ilvl="0" w:tplc="18E673E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24932F5"/>
    <w:multiLevelType w:val="hybridMultilevel"/>
    <w:tmpl w:val="D7402EE6"/>
    <w:lvl w:ilvl="0" w:tplc="DD522D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B87A4F"/>
    <w:multiLevelType w:val="hybridMultilevel"/>
    <w:tmpl w:val="5BB22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D477C"/>
    <w:multiLevelType w:val="hybridMultilevel"/>
    <w:tmpl w:val="FE861A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96737A6"/>
    <w:multiLevelType w:val="hybridMultilevel"/>
    <w:tmpl w:val="6616C58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3D5ADB"/>
    <w:multiLevelType w:val="hybridMultilevel"/>
    <w:tmpl w:val="965A88F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BE436D9"/>
    <w:multiLevelType w:val="hybridMultilevel"/>
    <w:tmpl w:val="5A18E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7"/>
  </w:num>
  <w:num w:numId="3">
    <w:abstractNumId w:val="3"/>
  </w:num>
  <w:num w:numId="4">
    <w:abstractNumId w:val="0"/>
  </w:num>
  <w:num w:numId="5">
    <w:abstractNumId w:val="4"/>
  </w:num>
  <w:num w:numId="6">
    <w:abstractNumId w:val="13"/>
  </w:num>
  <w:num w:numId="7">
    <w:abstractNumId w:val="20"/>
  </w:num>
  <w:num w:numId="8">
    <w:abstractNumId w:val="10"/>
  </w:num>
  <w:num w:numId="9">
    <w:abstractNumId w:val="11"/>
  </w:num>
  <w:num w:numId="10">
    <w:abstractNumId w:val="7"/>
  </w:num>
  <w:num w:numId="11">
    <w:abstractNumId w:val="18"/>
  </w:num>
  <w:num w:numId="12">
    <w:abstractNumId w:val="12"/>
  </w:num>
  <w:num w:numId="13">
    <w:abstractNumId w:val="1"/>
  </w:num>
  <w:num w:numId="14">
    <w:abstractNumId w:val="8"/>
  </w:num>
  <w:num w:numId="15">
    <w:abstractNumId w:val="14"/>
  </w:num>
  <w:num w:numId="16">
    <w:abstractNumId w:val="22"/>
  </w:num>
  <w:num w:numId="17">
    <w:abstractNumId w:val="9"/>
  </w:num>
  <w:num w:numId="18">
    <w:abstractNumId w:val="19"/>
  </w:num>
  <w:num w:numId="19">
    <w:abstractNumId w:val="21"/>
  </w:num>
  <w:num w:numId="20">
    <w:abstractNumId w:val="16"/>
  </w:num>
  <w:num w:numId="21">
    <w:abstractNumId w:val="15"/>
  </w:num>
  <w:num w:numId="22">
    <w:abstractNumId w:val="5"/>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25E"/>
    <w:rsid w:val="00191D0D"/>
    <w:rsid w:val="00217A13"/>
    <w:rsid w:val="002B3AE3"/>
    <w:rsid w:val="003D4E1A"/>
    <w:rsid w:val="005E4D65"/>
    <w:rsid w:val="00966554"/>
    <w:rsid w:val="00A428FE"/>
    <w:rsid w:val="00B127BF"/>
    <w:rsid w:val="00B707A0"/>
    <w:rsid w:val="00C94C51"/>
    <w:rsid w:val="00CC16B4"/>
    <w:rsid w:val="00CF225E"/>
    <w:rsid w:val="00D01043"/>
    <w:rsid w:val="00E7530E"/>
    <w:rsid w:val="00F239AB"/>
    <w:rsid w:val="00FF4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843C4"/>
  <w15:chartTrackingRefBased/>
  <w15:docId w15:val="{3EF2F1E8-3AB0-4627-94CF-F848AFF3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25E"/>
    <w:pPr>
      <w:tabs>
        <w:tab w:val="center" w:pos="4320"/>
        <w:tab w:val="right" w:pos="8640"/>
      </w:tabs>
      <w:spacing w:after="0" w:line="240" w:lineRule="auto"/>
      <w:jc w:val="both"/>
    </w:pPr>
    <w:rPr>
      <w:rFonts w:ascii="Times New Roman" w:eastAsiaTheme="minorEastAsia" w:hAnsi="Times New Roman" w:cs="Times New Roman"/>
    </w:rPr>
  </w:style>
  <w:style w:type="character" w:customStyle="1" w:styleId="HeaderChar">
    <w:name w:val="Header Char"/>
    <w:basedOn w:val="DefaultParagraphFont"/>
    <w:link w:val="Header"/>
    <w:uiPriority w:val="99"/>
    <w:rsid w:val="00CF225E"/>
    <w:rPr>
      <w:rFonts w:ascii="Times New Roman" w:eastAsiaTheme="minorEastAsia" w:hAnsi="Times New Roman" w:cs="Times New Roman"/>
    </w:rPr>
  </w:style>
  <w:style w:type="paragraph" w:styleId="ListParagraph">
    <w:name w:val="List Paragraph"/>
    <w:basedOn w:val="Normal"/>
    <w:uiPriority w:val="34"/>
    <w:qFormat/>
    <w:rsid w:val="00CF225E"/>
    <w:pPr>
      <w:ind w:left="720"/>
      <w:contextualSpacing/>
    </w:pPr>
  </w:style>
  <w:style w:type="character" w:styleId="Hyperlink">
    <w:name w:val="Hyperlink"/>
    <w:basedOn w:val="DefaultParagraphFont"/>
    <w:uiPriority w:val="99"/>
    <w:unhideWhenUsed/>
    <w:rsid w:val="00966554"/>
    <w:rPr>
      <w:color w:val="0563C1" w:themeColor="hyperlink"/>
      <w:u w:val="single"/>
    </w:rPr>
  </w:style>
  <w:style w:type="paragraph" w:styleId="Footer">
    <w:name w:val="footer"/>
    <w:basedOn w:val="Normal"/>
    <w:link w:val="FooterChar"/>
    <w:uiPriority w:val="99"/>
    <w:unhideWhenUsed/>
    <w:rsid w:val="00B12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111307">
      <w:bodyDiv w:val="1"/>
      <w:marLeft w:val="0"/>
      <w:marRight w:val="0"/>
      <w:marTop w:val="0"/>
      <w:marBottom w:val="0"/>
      <w:divBdr>
        <w:top w:val="none" w:sz="0" w:space="0" w:color="auto"/>
        <w:left w:val="none" w:sz="0" w:space="0" w:color="auto"/>
        <w:bottom w:val="none" w:sz="0" w:space="0" w:color="auto"/>
        <w:right w:val="none" w:sz="0" w:space="0" w:color="auto"/>
      </w:divBdr>
    </w:div>
    <w:div w:id="1465856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btsa.com/" TargetMode="External"/><Relationship Id="rId3" Type="http://schemas.openxmlformats.org/officeDocument/2006/relationships/settings" Target="settings.xml"/><Relationship Id="rId7" Type="http://schemas.openxmlformats.org/officeDocument/2006/relationships/hyperlink" Target="https://www.at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of Iowa - DHS</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Burke, Teresa</dc:creator>
  <cp:keywords/>
  <dc:description/>
  <cp:lastModifiedBy>Burke, Teresa</cp:lastModifiedBy>
  <cp:revision>7</cp:revision>
  <dcterms:created xsi:type="dcterms:W3CDTF">2021-01-04T17:23:00Z</dcterms:created>
  <dcterms:modified xsi:type="dcterms:W3CDTF">2021-01-29T18:25:00Z</dcterms:modified>
</cp:coreProperties>
</file>